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B" w:rsidRDefault="00687E4B" w:rsidP="00687E4B">
      <w:pPr>
        <w:jc w:val="center"/>
        <w:rPr>
          <w:rFonts w:ascii="宋体" w:hAnsi="宋体" w:hint="eastAsia"/>
          <w:b/>
          <w:sz w:val="30"/>
          <w:szCs w:val="30"/>
        </w:rPr>
      </w:pPr>
      <w:r>
        <w:rPr>
          <w:rFonts w:ascii="宋体" w:hAnsi="宋体" w:hint="eastAsia"/>
          <w:b/>
          <w:sz w:val="30"/>
          <w:szCs w:val="30"/>
        </w:rPr>
        <w:t>招标项目需求</w:t>
      </w:r>
    </w:p>
    <w:p w:rsidR="00687E4B" w:rsidRDefault="00687E4B" w:rsidP="00687E4B">
      <w:pPr>
        <w:spacing w:line="500" w:lineRule="exact"/>
        <w:outlineLvl w:val="2"/>
        <w:rPr>
          <w:rFonts w:ascii="宋体" w:hAnsi="宋体" w:hint="eastAsia"/>
          <w:b/>
          <w:bCs/>
          <w:sz w:val="24"/>
        </w:rPr>
      </w:pPr>
      <w:r>
        <w:rPr>
          <w:rFonts w:ascii="宋体" w:hAnsi="宋体" w:hint="eastAsia"/>
          <w:b/>
          <w:bCs/>
          <w:sz w:val="24"/>
        </w:rPr>
        <w:t>1.采购内容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2391"/>
        <w:gridCol w:w="5452"/>
      </w:tblGrid>
      <w:tr w:rsidR="00687E4B" w:rsidTr="00286588">
        <w:tc>
          <w:tcPr>
            <w:tcW w:w="1445" w:type="dxa"/>
            <w:vAlign w:val="center"/>
          </w:tcPr>
          <w:p w:rsidR="00687E4B" w:rsidRDefault="00687E4B" w:rsidP="00286588">
            <w:pPr>
              <w:spacing w:line="360" w:lineRule="auto"/>
              <w:jc w:val="center"/>
              <w:rPr>
                <w:rFonts w:hint="eastAsia"/>
              </w:rPr>
            </w:pPr>
            <w:bookmarkStart w:id="0" w:name="_Toc174531480"/>
            <w:bookmarkStart w:id="1" w:name="_Toc198351850"/>
            <w:bookmarkStart w:id="2" w:name="_Toc174531321"/>
            <w:bookmarkStart w:id="3" w:name="_Toc133142617"/>
            <w:bookmarkStart w:id="4" w:name="_Toc166642275"/>
            <w:bookmarkStart w:id="5" w:name="_Toc153937400"/>
            <w:r>
              <w:rPr>
                <w:rFonts w:hint="eastAsia"/>
              </w:rPr>
              <w:t>品种</w:t>
            </w:r>
          </w:p>
        </w:tc>
        <w:tc>
          <w:tcPr>
            <w:tcW w:w="2391" w:type="dxa"/>
            <w:vAlign w:val="center"/>
          </w:tcPr>
          <w:p w:rsidR="00687E4B" w:rsidRDefault="00687E4B" w:rsidP="00286588">
            <w:pPr>
              <w:spacing w:line="360" w:lineRule="auto"/>
              <w:jc w:val="center"/>
              <w:rPr>
                <w:rFonts w:hint="eastAsia"/>
              </w:rPr>
            </w:pPr>
            <w:r>
              <w:rPr>
                <w:rFonts w:hint="eastAsia"/>
              </w:rPr>
              <w:t>数量及财政资金</w:t>
            </w:r>
          </w:p>
        </w:tc>
        <w:tc>
          <w:tcPr>
            <w:tcW w:w="5452" w:type="dxa"/>
            <w:vAlign w:val="center"/>
          </w:tcPr>
          <w:p w:rsidR="00687E4B" w:rsidRDefault="00687E4B" w:rsidP="00286588">
            <w:pPr>
              <w:spacing w:line="360" w:lineRule="auto"/>
              <w:jc w:val="center"/>
              <w:rPr>
                <w:rFonts w:hint="eastAsia"/>
              </w:rPr>
            </w:pPr>
            <w:r>
              <w:rPr>
                <w:rFonts w:ascii="仿宋_GB2312" w:eastAsia="仿宋_GB2312" w:hAnsi="仿宋_GB2312" w:hint="eastAsia"/>
                <w:b/>
                <w:sz w:val="24"/>
              </w:rPr>
              <w:t>质量要求</w:t>
            </w:r>
          </w:p>
        </w:tc>
      </w:tr>
      <w:tr w:rsidR="00687E4B" w:rsidTr="00286588">
        <w:trPr>
          <w:trHeight w:val="911"/>
        </w:trPr>
        <w:tc>
          <w:tcPr>
            <w:tcW w:w="1445" w:type="dxa"/>
            <w:vAlign w:val="center"/>
          </w:tcPr>
          <w:p w:rsidR="00687E4B" w:rsidRDefault="00687E4B" w:rsidP="00286588">
            <w:pPr>
              <w:spacing w:line="360" w:lineRule="auto"/>
              <w:jc w:val="center"/>
              <w:rPr>
                <w:rFonts w:hint="eastAsia"/>
              </w:rPr>
            </w:pPr>
            <w:r>
              <w:rPr>
                <w:rFonts w:hint="eastAsia"/>
              </w:rPr>
              <w:t>颗粒状商品有机肥</w:t>
            </w:r>
          </w:p>
        </w:tc>
        <w:tc>
          <w:tcPr>
            <w:tcW w:w="2391" w:type="dxa"/>
            <w:vAlign w:val="center"/>
          </w:tcPr>
          <w:p w:rsidR="00687E4B" w:rsidRDefault="00687E4B" w:rsidP="00286588">
            <w:pPr>
              <w:spacing w:line="360" w:lineRule="auto"/>
              <w:jc w:val="center"/>
              <w:rPr>
                <w:rFonts w:hint="eastAsia"/>
              </w:rPr>
            </w:pPr>
            <w:r>
              <w:rPr>
                <w:rFonts w:hint="eastAsia"/>
              </w:rPr>
              <w:t>采购数量</w:t>
            </w:r>
            <w:r>
              <w:rPr>
                <w:rFonts w:hint="eastAsia"/>
              </w:rPr>
              <w:t>1000</w:t>
            </w:r>
            <w:r>
              <w:rPr>
                <w:rFonts w:hint="eastAsia"/>
              </w:rPr>
              <w:t>吨</w:t>
            </w:r>
          </w:p>
          <w:p w:rsidR="00687E4B" w:rsidRDefault="00687E4B" w:rsidP="00286588">
            <w:pPr>
              <w:spacing w:line="360" w:lineRule="auto"/>
              <w:jc w:val="center"/>
              <w:rPr>
                <w:rFonts w:hint="eastAsia"/>
              </w:rPr>
            </w:pPr>
            <w:r>
              <w:rPr>
                <w:rFonts w:hint="eastAsia"/>
              </w:rPr>
              <w:t>财政资金</w:t>
            </w:r>
            <w:r>
              <w:rPr>
                <w:rFonts w:hint="eastAsia"/>
              </w:rPr>
              <w:t>29</w:t>
            </w:r>
            <w:r>
              <w:rPr>
                <w:rFonts w:hint="eastAsia"/>
              </w:rPr>
              <w:t>万元</w:t>
            </w:r>
          </w:p>
        </w:tc>
        <w:tc>
          <w:tcPr>
            <w:tcW w:w="5452" w:type="dxa"/>
            <w:vAlign w:val="center"/>
          </w:tcPr>
          <w:p w:rsidR="00687E4B" w:rsidRDefault="00687E4B" w:rsidP="00286588">
            <w:pPr>
              <w:spacing w:line="360" w:lineRule="auto"/>
              <w:rPr>
                <w:rFonts w:hint="eastAsia"/>
              </w:rPr>
            </w:pPr>
            <w:r>
              <w:rPr>
                <w:rFonts w:hint="eastAsia"/>
              </w:rPr>
              <w:t>1</w:t>
            </w:r>
            <w:r>
              <w:rPr>
                <w:rFonts w:hint="eastAsia"/>
              </w:rPr>
              <w:t>、按照农业部</w:t>
            </w:r>
            <w:r>
              <w:rPr>
                <w:rFonts w:hint="eastAsia"/>
              </w:rPr>
              <w:t>NY525-2012</w:t>
            </w:r>
            <w:r>
              <w:rPr>
                <w:rFonts w:hint="eastAsia"/>
              </w:rPr>
              <w:t>《有机肥料》产品质量标准生产，氮、磷、钾总养分≥</w:t>
            </w:r>
            <w:r>
              <w:rPr>
                <w:rFonts w:hint="eastAsia"/>
              </w:rPr>
              <w:t>5%</w:t>
            </w:r>
            <w:r>
              <w:rPr>
                <w:rFonts w:hint="eastAsia"/>
              </w:rPr>
              <w:t>，有机质≥</w:t>
            </w:r>
            <w:r>
              <w:rPr>
                <w:rFonts w:hint="eastAsia"/>
              </w:rPr>
              <w:t>45%</w:t>
            </w:r>
            <w:r>
              <w:rPr>
                <w:rFonts w:hint="eastAsia"/>
              </w:rPr>
              <w:t>，含水量≤</w:t>
            </w:r>
            <w:r>
              <w:rPr>
                <w:rFonts w:hint="eastAsia"/>
              </w:rPr>
              <w:t>30%</w:t>
            </w:r>
            <w:r>
              <w:rPr>
                <w:rFonts w:hint="eastAsia"/>
              </w:rPr>
              <w:t>，</w:t>
            </w:r>
            <w:r>
              <w:rPr>
                <w:rFonts w:hint="eastAsia"/>
              </w:rPr>
              <w:t>pH</w:t>
            </w:r>
            <w:r>
              <w:rPr>
                <w:rFonts w:hint="eastAsia"/>
              </w:rPr>
              <w:t>值在</w:t>
            </w:r>
            <w:r>
              <w:rPr>
                <w:rFonts w:hint="eastAsia"/>
              </w:rPr>
              <w:t>5.5-8.5</w:t>
            </w:r>
            <w:r>
              <w:rPr>
                <w:rFonts w:hint="eastAsia"/>
              </w:rPr>
              <w:t>之间；</w:t>
            </w:r>
          </w:p>
          <w:p w:rsidR="00687E4B" w:rsidRDefault="00687E4B" w:rsidP="00286588">
            <w:pPr>
              <w:spacing w:line="360" w:lineRule="auto"/>
              <w:rPr>
                <w:rFonts w:hint="eastAsia"/>
              </w:rPr>
            </w:pPr>
            <w:r>
              <w:rPr>
                <w:rFonts w:hint="eastAsia"/>
              </w:rPr>
              <w:t>2</w:t>
            </w:r>
            <w:r>
              <w:rPr>
                <w:rFonts w:hint="eastAsia"/>
              </w:rPr>
              <w:t>、不得使用垃圾、污泥及城市污水处理污泥、造纸化工污泥、热电余灰等物料；</w:t>
            </w:r>
          </w:p>
          <w:p w:rsidR="00687E4B" w:rsidRDefault="00687E4B" w:rsidP="00286588">
            <w:pPr>
              <w:spacing w:line="360" w:lineRule="auto"/>
              <w:rPr>
                <w:rFonts w:hint="eastAsia"/>
              </w:rPr>
            </w:pPr>
            <w:r>
              <w:rPr>
                <w:rFonts w:hint="eastAsia"/>
              </w:rPr>
              <w:t>3</w:t>
            </w:r>
            <w:r>
              <w:rPr>
                <w:rFonts w:hint="eastAsia"/>
              </w:rPr>
              <w:t>、必须通过高温灭菌、除臭、发酵等技术处理；</w:t>
            </w:r>
          </w:p>
          <w:p w:rsidR="00687E4B" w:rsidRDefault="00687E4B" w:rsidP="00286588">
            <w:pPr>
              <w:spacing w:line="360" w:lineRule="auto"/>
              <w:jc w:val="left"/>
              <w:rPr>
                <w:rFonts w:hint="eastAsia"/>
              </w:rPr>
            </w:pPr>
            <w:r>
              <w:rPr>
                <w:rFonts w:hint="eastAsia"/>
              </w:rPr>
              <w:t>4</w:t>
            </w:r>
            <w:r>
              <w:rPr>
                <w:rFonts w:hint="eastAsia"/>
              </w:rPr>
              <w:t>、重金属指标，严格执行农业部有机肥</w:t>
            </w:r>
            <w:r>
              <w:rPr>
                <w:rFonts w:hint="eastAsia"/>
              </w:rPr>
              <w:t>NY525-2012</w:t>
            </w:r>
            <w:r>
              <w:rPr>
                <w:rFonts w:hint="eastAsia"/>
              </w:rPr>
              <w:t>《有机肥料》质量标准。</w:t>
            </w:r>
          </w:p>
        </w:tc>
      </w:tr>
    </w:tbl>
    <w:p w:rsidR="00687E4B" w:rsidRDefault="00687E4B" w:rsidP="00687E4B">
      <w:pPr>
        <w:spacing w:line="360" w:lineRule="auto"/>
        <w:rPr>
          <w:rFonts w:hint="eastAsia"/>
        </w:rPr>
      </w:pPr>
      <w:r>
        <w:rPr>
          <w:rFonts w:hint="eastAsia"/>
        </w:rPr>
        <w:t>注：采购项目数量以中标后实际发生数为准。</w:t>
      </w:r>
    </w:p>
    <w:p w:rsidR="00687E4B" w:rsidRDefault="00687E4B" w:rsidP="00687E4B">
      <w:pPr>
        <w:spacing w:line="500" w:lineRule="exact"/>
        <w:outlineLvl w:val="2"/>
        <w:rPr>
          <w:rFonts w:ascii="宋体" w:hAnsi="宋体" w:hint="eastAsia"/>
          <w:b/>
          <w:bCs/>
          <w:sz w:val="24"/>
        </w:rPr>
      </w:pPr>
      <w:r>
        <w:rPr>
          <w:rFonts w:ascii="宋体" w:hAnsi="宋体" w:hint="eastAsia"/>
          <w:b/>
          <w:bCs/>
          <w:sz w:val="24"/>
        </w:rPr>
        <w:t>2．采购货物技术要求</w:t>
      </w:r>
      <w:bookmarkStart w:id="6" w:name="_Toc174531322"/>
      <w:bookmarkStart w:id="7" w:name="_Toc198351851"/>
      <w:bookmarkStart w:id="8" w:name="_Toc174531481"/>
      <w:bookmarkStart w:id="9" w:name="_Toc153937401"/>
      <w:bookmarkStart w:id="10" w:name="_Toc133142618"/>
      <w:bookmarkStart w:id="11" w:name="_Toc166642276"/>
      <w:bookmarkEnd w:id="0"/>
      <w:bookmarkEnd w:id="1"/>
      <w:bookmarkEnd w:id="2"/>
      <w:bookmarkEnd w:id="3"/>
      <w:bookmarkEnd w:id="4"/>
      <w:bookmarkEnd w:id="5"/>
    </w:p>
    <w:p w:rsidR="00687E4B" w:rsidRDefault="00687E4B" w:rsidP="00687E4B">
      <w:pPr>
        <w:spacing w:line="360" w:lineRule="auto"/>
        <w:ind w:firstLine="480"/>
        <w:rPr>
          <w:rFonts w:hint="eastAsia"/>
        </w:rPr>
      </w:pPr>
      <w:r>
        <w:rPr>
          <w:rFonts w:hint="eastAsia"/>
        </w:rPr>
        <w:t>1</w:t>
      </w:r>
      <w:r>
        <w:rPr>
          <w:rFonts w:hint="eastAsia"/>
        </w:rPr>
        <w:t>）必须取得农业部或省颁发的肥料登记证（或临时登记证），参与投标产品的各项指标，必须与登记时的技术指标完全一致；</w:t>
      </w:r>
    </w:p>
    <w:p w:rsidR="00687E4B" w:rsidRDefault="00687E4B" w:rsidP="00687E4B">
      <w:pPr>
        <w:spacing w:line="360" w:lineRule="auto"/>
        <w:ind w:firstLine="480"/>
        <w:rPr>
          <w:rFonts w:hint="eastAsia"/>
        </w:rPr>
      </w:pPr>
      <w:r>
        <w:rPr>
          <w:rFonts w:hint="eastAsia"/>
        </w:rPr>
        <w:t>2</w:t>
      </w:r>
      <w:r>
        <w:rPr>
          <w:rFonts w:hint="eastAsia"/>
        </w:rPr>
        <w:t>）必须具有资质检验测试中心，或其他通过国家计量认证的、具有检测能力的检测机构出具本年度产品质量检测报告（标前提供）；</w:t>
      </w:r>
    </w:p>
    <w:p w:rsidR="00687E4B" w:rsidRDefault="00687E4B" w:rsidP="00687E4B">
      <w:pPr>
        <w:spacing w:line="360" w:lineRule="auto"/>
        <w:ind w:left="360"/>
        <w:rPr>
          <w:rFonts w:hint="eastAsia"/>
        </w:rPr>
      </w:pPr>
      <w:r>
        <w:rPr>
          <w:rFonts w:hint="eastAsia"/>
        </w:rPr>
        <w:t>3</w:t>
      </w:r>
      <w:r>
        <w:rPr>
          <w:rFonts w:hint="eastAsia"/>
        </w:rPr>
        <w:t>）必须按照农业部有机肥</w:t>
      </w:r>
      <w:r>
        <w:rPr>
          <w:rFonts w:hint="eastAsia"/>
        </w:rPr>
        <w:t>NY525-2012</w:t>
      </w:r>
      <w:r>
        <w:rPr>
          <w:rFonts w:hint="eastAsia"/>
        </w:rPr>
        <w:t>《有机肥料》产品质量标准生产，氮、磷、钾总养分≥</w:t>
      </w:r>
      <w:r>
        <w:rPr>
          <w:rFonts w:hint="eastAsia"/>
        </w:rPr>
        <w:t>5%</w:t>
      </w:r>
      <w:r>
        <w:rPr>
          <w:rFonts w:hint="eastAsia"/>
        </w:rPr>
        <w:t>，有机质≥</w:t>
      </w:r>
      <w:r>
        <w:rPr>
          <w:rFonts w:hint="eastAsia"/>
        </w:rPr>
        <w:t>45%</w:t>
      </w:r>
      <w:r>
        <w:rPr>
          <w:rFonts w:hint="eastAsia"/>
        </w:rPr>
        <w:t>，含水量≤</w:t>
      </w:r>
      <w:r>
        <w:rPr>
          <w:rFonts w:hint="eastAsia"/>
        </w:rPr>
        <w:t>30%</w:t>
      </w:r>
      <w:r>
        <w:rPr>
          <w:rFonts w:hint="eastAsia"/>
        </w:rPr>
        <w:t>，</w:t>
      </w:r>
      <w:r>
        <w:rPr>
          <w:rFonts w:hint="eastAsia"/>
        </w:rPr>
        <w:t>pH</w:t>
      </w:r>
      <w:r>
        <w:rPr>
          <w:rFonts w:hint="eastAsia"/>
        </w:rPr>
        <w:t>值在</w:t>
      </w:r>
      <w:r>
        <w:rPr>
          <w:rFonts w:hint="eastAsia"/>
        </w:rPr>
        <w:t>5.5-8.5</w:t>
      </w:r>
      <w:r>
        <w:rPr>
          <w:rFonts w:hint="eastAsia"/>
        </w:rPr>
        <w:t>之间；</w:t>
      </w:r>
    </w:p>
    <w:p w:rsidR="00687E4B" w:rsidRDefault="00687E4B" w:rsidP="00687E4B">
      <w:pPr>
        <w:spacing w:line="360" w:lineRule="auto"/>
        <w:ind w:left="360"/>
        <w:rPr>
          <w:rFonts w:hint="eastAsia"/>
        </w:rPr>
      </w:pPr>
      <w:r>
        <w:rPr>
          <w:rFonts w:hint="eastAsia"/>
        </w:rPr>
        <w:t>4</w:t>
      </w:r>
      <w:r>
        <w:rPr>
          <w:rFonts w:hint="eastAsia"/>
        </w:rPr>
        <w:t>）包装重量要求：指定</w:t>
      </w:r>
      <w:r>
        <w:rPr>
          <w:rFonts w:hint="eastAsia"/>
        </w:rPr>
        <w:t>40Kg/</w:t>
      </w:r>
      <w:r>
        <w:rPr>
          <w:rFonts w:hint="eastAsia"/>
        </w:rPr>
        <w:t>袋；</w:t>
      </w:r>
    </w:p>
    <w:p w:rsidR="00687E4B" w:rsidRDefault="00687E4B" w:rsidP="00687E4B">
      <w:pPr>
        <w:spacing w:line="360" w:lineRule="auto"/>
        <w:ind w:left="360"/>
        <w:rPr>
          <w:rFonts w:hint="eastAsia"/>
        </w:rPr>
      </w:pPr>
      <w:r>
        <w:rPr>
          <w:rFonts w:hint="eastAsia"/>
        </w:rPr>
        <w:t>5</w:t>
      </w:r>
      <w:r>
        <w:rPr>
          <w:rFonts w:hint="eastAsia"/>
        </w:rPr>
        <w:t>）包装要求：双层彩包，必须符合农业部</w:t>
      </w:r>
      <w:r>
        <w:rPr>
          <w:rFonts w:hint="eastAsia"/>
        </w:rPr>
        <w:t>NY525-2012</w:t>
      </w:r>
      <w:r>
        <w:rPr>
          <w:rFonts w:hint="eastAsia"/>
        </w:rPr>
        <w:t>《有机肥料》要求；</w:t>
      </w:r>
    </w:p>
    <w:p w:rsidR="00687E4B" w:rsidRDefault="00687E4B" w:rsidP="00687E4B">
      <w:pPr>
        <w:spacing w:line="500" w:lineRule="exact"/>
        <w:outlineLvl w:val="2"/>
        <w:rPr>
          <w:rFonts w:ascii="宋体" w:hAnsi="宋体" w:hint="eastAsia"/>
          <w:b/>
          <w:bCs/>
          <w:sz w:val="24"/>
        </w:rPr>
      </w:pPr>
      <w:bookmarkStart w:id="12" w:name="_Toc198351852"/>
      <w:bookmarkStart w:id="13" w:name="_Toc151872217"/>
      <w:bookmarkStart w:id="14" w:name="_Toc174531323"/>
      <w:bookmarkStart w:id="15" w:name="_Toc174531482"/>
      <w:bookmarkStart w:id="16" w:name="_Toc166642277"/>
      <w:bookmarkStart w:id="17" w:name="_Toc153937402"/>
      <w:bookmarkEnd w:id="6"/>
      <w:bookmarkEnd w:id="7"/>
      <w:bookmarkEnd w:id="8"/>
      <w:bookmarkEnd w:id="9"/>
      <w:bookmarkEnd w:id="10"/>
      <w:bookmarkEnd w:id="11"/>
      <w:r>
        <w:rPr>
          <w:rFonts w:ascii="宋体" w:hAnsi="宋体" w:hint="eastAsia"/>
          <w:b/>
          <w:bCs/>
          <w:sz w:val="24"/>
        </w:rPr>
        <w:t>3.交货期</w:t>
      </w:r>
      <w:bookmarkEnd w:id="12"/>
      <w:bookmarkEnd w:id="13"/>
      <w:bookmarkEnd w:id="14"/>
      <w:bookmarkEnd w:id="15"/>
      <w:bookmarkEnd w:id="16"/>
      <w:bookmarkEnd w:id="17"/>
    </w:p>
    <w:p w:rsidR="00687E4B" w:rsidRDefault="00687E4B" w:rsidP="00687E4B">
      <w:pPr>
        <w:spacing w:line="460" w:lineRule="exact"/>
        <w:ind w:firstLineChars="150" w:firstLine="315"/>
        <w:outlineLvl w:val="2"/>
        <w:rPr>
          <w:rFonts w:hint="eastAsia"/>
        </w:rPr>
      </w:pPr>
      <w:bookmarkStart w:id="18" w:name="_Toc151872218"/>
      <w:bookmarkStart w:id="19" w:name="_Toc174531324"/>
      <w:bookmarkStart w:id="20" w:name="_Toc198351853"/>
      <w:bookmarkStart w:id="21" w:name="_Toc174531483"/>
      <w:bookmarkStart w:id="22" w:name="_Toc153937403"/>
      <w:bookmarkStart w:id="23" w:name="_Toc166642278"/>
      <w:r>
        <w:rPr>
          <w:rFonts w:hint="eastAsia"/>
        </w:rPr>
        <w:t>合同签订后三十个工作日内供货</w:t>
      </w:r>
      <w:r>
        <w:rPr>
          <w:rFonts w:hint="eastAsia"/>
        </w:rPr>
        <w:t>,</w:t>
      </w:r>
      <w:r>
        <w:rPr>
          <w:rFonts w:hint="eastAsia"/>
        </w:rPr>
        <w:t>并由业务主管部门核实（注：按采购方要求分批次供货）。</w:t>
      </w:r>
    </w:p>
    <w:p w:rsidR="00687E4B" w:rsidRDefault="00687E4B" w:rsidP="00687E4B">
      <w:pPr>
        <w:spacing w:line="500" w:lineRule="exact"/>
        <w:outlineLvl w:val="2"/>
        <w:rPr>
          <w:rFonts w:ascii="宋体" w:hAnsi="宋体" w:hint="eastAsia"/>
          <w:b/>
          <w:bCs/>
          <w:sz w:val="24"/>
        </w:rPr>
      </w:pPr>
      <w:bookmarkStart w:id="24" w:name="_Toc151872219"/>
      <w:bookmarkStart w:id="25" w:name="_Toc166642279"/>
      <w:bookmarkStart w:id="26" w:name="_Toc153937404"/>
      <w:bookmarkStart w:id="27" w:name="_Toc198351854"/>
      <w:bookmarkStart w:id="28" w:name="_Toc174531484"/>
      <w:bookmarkStart w:id="29" w:name="_Toc174531325"/>
      <w:bookmarkEnd w:id="18"/>
      <w:bookmarkEnd w:id="19"/>
      <w:bookmarkEnd w:id="20"/>
      <w:bookmarkEnd w:id="21"/>
      <w:bookmarkEnd w:id="22"/>
      <w:bookmarkEnd w:id="23"/>
      <w:r>
        <w:rPr>
          <w:rFonts w:ascii="宋体" w:hAnsi="宋体" w:hint="eastAsia"/>
          <w:b/>
          <w:bCs/>
          <w:sz w:val="24"/>
        </w:rPr>
        <w:t>4.付款方式</w:t>
      </w:r>
    </w:p>
    <w:p w:rsidR="00687E4B" w:rsidRDefault="00687E4B" w:rsidP="00687E4B">
      <w:pPr>
        <w:spacing w:line="460" w:lineRule="exact"/>
        <w:ind w:firstLineChars="150" w:firstLine="315"/>
        <w:outlineLvl w:val="2"/>
        <w:rPr>
          <w:rFonts w:hint="eastAsia"/>
        </w:rPr>
      </w:pPr>
      <w:r>
        <w:rPr>
          <w:rFonts w:hint="eastAsia"/>
        </w:rPr>
        <w:t>一次性交货的货物经采购人验收合格后两个月内付清补助款，分期交货的货物采取分期付款并经采购人验收合格后两个月内付清补助款。</w:t>
      </w:r>
    </w:p>
    <w:bookmarkEnd w:id="24"/>
    <w:bookmarkEnd w:id="25"/>
    <w:bookmarkEnd w:id="26"/>
    <w:bookmarkEnd w:id="27"/>
    <w:bookmarkEnd w:id="28"/>
    <w:bookmarkEnd w:id="29"/>
    <w:p w:rsidR="00687E4B" w:rsidRDefault="00687E4B" w:rsidP="00687E4B">
      <w:pPr>
        <w:spacing w:line="500" w:lineRule="exact"/>
        <w:outlineLvl w:val="2"/>
        <w:rPr>
          <w:rFonts w:ascii="宋体" w:hAnsi="宋体" w:hint="eastAsia"/>
          <w:b/>
          <w:bCs/>
          <w:sz w:val="24"/>
        </w:rPr>
      </w:pPr>
      <w:r>
        <w:rPr>
          <w:rFonts w:ascii="宋体" w:hAnsi="宋体" w:hint="eastAsia"/>
          <w:b/>
          <w:bCs/>
          <w:sz w:val="24"/>
        </w:rPr>
        <w:t>5.售后服务</w:t>
      </w:r>
    </w:p>
    <w:p w:rsidR="00687E4B" w:rsidRDefault="00687E4B" w:rsidP="00687E4B">
      <w:pPr>
        <w:spacing w:line="360" w:lineRule="auto"/>
        <w:ind w:firstLineChars="200" w:firstLine="420"/>
        <w:rPr>
          <w:rFonts w:hint="eastAsia"/>
        </w:rPr>
      </w:pPr>
      <w:r>
        <w:rPr>
          <w:rFonts w:hint="eastAsia"/>
        </w:rPr>
        <w:t>1</w:t>
      </w:r>
      <w:r>
        <w:rPr>
          <w:rFonts w:hint="eastAsia"/>
        </w:rPr>
        <w:t>、供货方应协助招标方做好配套技术的指导和培训；</w:t>
      </w:r>
    </w:p>
    <w:p w:rsidR="00687E4B" w:rsidRDefault="00687E4B" w:rsidP="00687E4B">
      <w:pPr>
        <w:spacing w:line="360" w:lineRule="auto"/>
        <w:ind w:firstLineChars="200" w:firstLine="420"/>
        <w:rPr>
          <w:rFonts w:hint="eastAsia"/>
        </w:rPr>
      </w:pPr>
      <w:r>
        <w:rPr>
          <w:rFonts w:hint="eastAsia"/>
        </w:rPr>
        <w:t>2</w:t>
      </w:r>
      <w:r>
        <w:rPr>
          <w:rFonts w:hint="eastAsia"/>
        </w:rPr>
        <w:t>、供货方应协调做好各级执法部门的抽检工作；</w:t>
      </w:r>
    </w:p>
    <w:p w:rsidR="00687E4B" w:rsidRDefault="00687E4B" w:rsidP="00687E4B">
      <w:pPr>
        <w:spacing w:line="460" w:lineRule="exact"/>
        <w:ind w:firstLineChars="200" w:firstLine="420"/>
        <w:outlineLvl w:val="2"/>
        <w:rPr>
          <w:rFonts w:hint="eastAsia"/>
        </w:rPr>
      </w:pPr>
      <w:r>
        <w:rPr>
          <w:rFonts w:hint="eastAsia"/>
        </w:rPr>
        <w:lastRenderedPageBreak/>
        <w:t>3</w:t>
      </w:r>
      <w:r>
        <w:rPr>
          <w:rFonts w:hint="eastAsia"/>
        </w:rPr>
        <w:t>、提供销售清册</w:t>
      </w:r>
    </w:p>
    <w:p w:rsidR="000B0EB4" w:rsidRDefault="00687E4B" w:rsidP="00687E4B">
      <w:r>
        <w:rPr>
          <w:rFonts w:hint="eastAsia"/>
        </w:rPr>
        <w:t>4</w:t>
      </w:r>
      <w:r>
        <w:rPr>
          <w:rFonts w:hint="eastAsia"/>
        </w:rPr>
        <w:t>、各投标人视自身能力在投标文件中提供更优、更合理的售后服务承诺。</w:t>
      </w:r>
    </w:p>
    <w:sectPr w:rsidR="000B0E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B4" w:rsidRDefault="000B0EB4" w:rsidP="00687E4B">
      <w:r>
        <w:separator/>
      </w:r>
    </w:p>
  </w:endnote>
  <w:endnote w:type="continuationSeparator" w:id="1">
    <w:p w:rsidR="000B0EB4" w:rsidRDefault="000B0EB4" w:rsidP="00687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B4" w:rsidRDefault="000B0EB4" w:rsidP="00687E4B">
      <w:r>
        <w:separator/>
      </w:r>
    </w:p>
  </w:footnote>
  <w:footnote w:type="continuationSeparator" w:id="1">
    <w:p w:rsidR="000B0EB4" w:rsidRDefault="000B0EB4" w:rsidP="00687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E4B"/>
    <w:rsid w:val="000B0EB4"/>
    <w:rsid w:val="00687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4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E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7E4B"/>
    <w:rPr>
      <w:sz w:val="18"/>
      <w:szCs w:val="18"/>
    </w:rPr>
  </w:style>
  <w:style w:type="paragraph" w:styleId="a4">
    <w:name w:val="footer"/>
    <w:basedOn w:val="a"/>
    <w:link w:val="Char0"/>
    <w:uiPriority w:val="99"/>
    <w:semiHidden/>
    <w:unhideWhenUsed/>
    <w:rsid w:val="00687E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7E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微软中国</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2018-08-07T07:09:00Z</dcterms:created>
  <dcterms:modified xsi:type="dcterms:W3CDTF">2018-08-07T07:09:00Z</dcterms:modified>
</cp:coreProperties>
</file>