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rPr>
      </w:pPr>
    </w:p>
    <w:p>
      <w:pPr>
        <w:jc w:val="center"/>
        <w:rPr>
          <w:rFonts w:hint="eastAsia"/>
        </w:rPr>
      </w:pPr>
      <w:r>
        <w:rPr>
          <w:rFonts w:hint="eastAsia" w:ascii="黑体" w:eastAsia="黑体"/>
        </w:rPr>
        <mc:AlternateContent>
          <mc:Choice Requires="wps">
            <w:drawing>
              <wp:anchor distT="0" distB="0" distL="114300" distR="114300" simplePos="0" relativeHeight="251659264" behindDoc="0" locked="0" layoutInCell="1" allowOverlap="1">
                <wp:simplePos x="0" y="0"/>
                <wp:positionH relativeFrom="column">
                  <wp:posOffset>-86360</wp:posOffset>
                </wp:positionH>
                <wp:positionV relativeFrom="page">
                  <wp:posOffset>1779270</wp:posOffset>
                </wp:positionV>
                <wp:extent cx="5779135" cy="1188720"/>
                <wp:effectExtent l="0" t="0" r="0" b="0"/>
                <wp:wrapNone/>
                <wp:docPr id="1" name="SubjectText"/>
                <wp:cNvGraphicFramePr/>
                <a:graphic xmlns:a="http://schemas.openxmlformats.org/drawingml/2006/main">
                  <a:graphicData uri="http://schemas.microsoft.com/office/word/2010/wordprocessingShape">
                    <wps:wsp>
                      <wps:cNvSpPr txBox="1"/>
                      <wps:spPr>
                        <a:xfrm>
                          <a:off x="0" y="0"/>
                          <a:ext cx="5779135" cy="1188720"/>
                        </a:xfrm>
                        <a:prstGeom prst="rect">
                          <a:avLst/>
                        </a:prstGeom>
                        <a:noFill/>
                        <a:ln>
                          <a:noFill/>
                        </a:ln>
                      </wps:spPr>
                      <wps:txbx>
                        <w:txbxContent>
                          <w:p>
                            <w:pPr>
                              <w:jc w:val="center"/>
                              <w:rPr>
                                <w:rFonts w:hint="eastAsia" w:ascii="方正小标宋简体" w:eastAsia="方正小标宋简体"/>
                                <w:b/>
                                <w:color w:val="FF0000"/>
                                <w:spacing w:val="-20"/>
                                <w:w w:val="66"/>
                                <w:sz w:val="72"/>
                                <w:szCs w:val="72"/>
                              </w:rPr>
                            </w:pPr>
                            <w:r>
                              <w:rPr>
                                <w:rFonts w:hint="eastAsia" w:ascii="方正小标宋简体" w:eastAsia="方正小标宋简体"/>
                                <w:b/>
                                <w:bCs/>
                                <w:color w:val="FF0000"/>
                                <w:spacing w:val="-20"/>
                                <w:w w:val="66"/>
                                <w:sz w:val="72"/>
                                <w:szCs w:val="72"/>
                              </w:rPr>
                              <w:t>岱山县城乡环境综合整治领导小组办公室文件</w:t>
                            </w:r>
                          </w:p>
                        </w:txbxContent>
                      </wps:txbx>
                      <wps:bodyPr lIns="0" tIns="0" rIns="0" bIns="0" upright="1"/>
                    </wps:wsp>
                  </a:graphicData>
                </a:graphic>
              </wp:anchor>
            </w:drawing>
          </mc:Choice>
          <mc:Fallback>
            <w:pict>
              <v:shape id="SubjectText" o:spid="_x0000_s1026" o:spt="202" type="#_x0000_t202" style="position:absolute;left:0pt;margin-left:-6.8pt;margin-top:140.1pt;height:93.6pt;width:455.05pt;mso-position-vertical-relative:page;z-index:251659264;mso-width-relative:page;mso-height-relative:page;" filled="f" stroked="f" coordsize="21600,21600" o:gfxdata="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K3&#10;E6/bAAAACwEAAA8AAAAAAAAAAQAgAAAAIgAAAGRycy9kb3ducmV2LnhtbFBLAQIUABQAAAAIAIdO&#10;4kA7C8+QrgEAAHMDAAAOAAAAAAAAAAEAIAAAACoBAABkcnMvZTJvRG9jLnhtbFBLBQYAAAAABgAG&#10;AFkBAABKBQAAAAA=&#10;">
                <v:fill on="f" focussize="0,0"/>
                <v:stroke on="f"/>
                <v:imagedata o:title=""/>
                <o:lock v:ext="edit" aspectratio="f"/>
                <v:textbox inset="0mm,0mm,0mm,0mm">
                  <w:txbxContent>
                    <w:p>
                      <w:pPr>
                        <w:jc w:val="center"/>
                        <w:rPr>
                          <w:rFonts w:hint="eastAsia" w:ascii="方正小标宋简体" w:eastAsia="方正小标宋简体"/>
                          <w:b/>
                          <w:color w:val="FF0000"/>
                          <w:spacing w:val="-20"/>
                          <w:w w:val="66"/>
                          <w:sz w:val="72"/>
                          <w:szCs w:val="72"/>
                        </w:rPr>
                      </w:pPr>
                      <w:r>
                        <w:rPr>
                          <w:rFonts w:hint="eastAsia" w:ascii="方正小标宋简体" w:eastAsia="方正小标宋简体"/>
                          <w:b/>
                          <w:bCs/>
                          <w:color w:val="FF0000"/>
                          <w:spacing w:val="-20"/>
                          <w:w w:val="66"/>
                          <w:sz w:val="72"/>
                          <w:szCs w:val="72"/>
                        </w:rPr>
                        <w:t>岱山县城乡环境综合整治领导小组办公室文件</w:t>
                      </w:r>
                    </w:p>
                  </w:txbxContent>
                </v:textbox>
              </v:shape>
            </w:pict>
          </mc:Fallback>
        </mc:AlternateContent>
      </w:r>
      <w:r>
        <w:rPr>
          <w:rFonts w:hint="eastAsia" w:ascii="仿宋_GB2312"/>
        </w:rPr>
        <w:t xml:space="preserve">                           </w:t>
      </w:r>
    </w:p>
    <w:p>
      <w:pPr>
        <w:spacing w:line="600" w:lineRule="exact"/>
        <w:rPr>
          <w:rFonts w:hint="eastAsia" w:ascii="方正小标宋简体" w:hAnsi="宋体" w:eastAsia="方正小标宋简体"/>
          <w:sz w:val="44"/>
          <w:szCs w:val="44"/>
        </w:rPr>
      </w:pPr>
    </w:p>
    <w:p>
      <w:pPr>
        <w:spacing w:line="600" w:lineRule="exact"/>
        <w:rPr>
          <w:rFonts w:ascii="仿宋_GB2312"/>
        </w:rPr>
      </w:pPr>
    </w:p>
    <w:p>
      <w:pPr>
        <w:spacing w:line="600" w:lineRule="exact"/>
        <w:rPr>
          <w:rFonts w:hint="eastAsia" w:ascii="仿宋_GB2312"/>
        </w:rPr>
      </w:pPr>
    </w:p>
    <w:p>
      <w:pPr>
        <w:jc w:val="center"/>
        <w:rPr>
          <w:rFonts w:hint="eastAsia" w:ascii="仿宋_GB2312" w:eastAsia="仿宋_GB2312"/>
          <w:sz w:val="32"/>
          <w:szCs w:val="32"/>
        </w:rPr>
      </w:pPr>
      <w:r>
        <w:rPr>
          <w:rFonts w:hint="eastAsia" w:eastAsia="仿宋_GB2312"/>
          <w:sz w:val="32"/>
        </w:rPr>
        <w:t>岱城治办〔2022〕1号</w:t>
      </w:r>
    </w:p>
    <w:p>
      <w:pPr>
        <w:rPr>
          <w:rFonts w:hint="eastAsia"/>
          <w:sz w:val="48"/>
          <w:szCs w:val="48"/>
        </w:rPr>
      </w:pPr>
      <w: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75565</wp:posOffset>
                </wp:positionV>
                <wp:extent cx="5905500" cy="0"/>
                <wp:effectExtent l="0" t="17145" r="0" b="20955"/>
                <wp:wrapNone/>
                <wp:docPr id="2" name="DocMarkLine"/>
                <wp:cNvGraphicFramePr/>
                <a:graphic xmlns:a="http://schemas.openxmlformats.org/drawingml/2006/main">
                  <a:graphicData uri="http://schemas.microsoft.com/office/word/2010/wordprocessingShape">
                    <wps:wsp>
                      <wps:cNvCnPr/>
                      <wps:spPr>
                        <a:xfrm>
                          <a:off x="0" y="0"/>
                          <a:ext cx="5905500"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DocMarkLine" o:spid="_x0000_s1026" o:spt="20" style="position:absolute;left:0pt;margin-left:-7pt;margin-top:5.95pt;height:0pt;width:465pt;z-index:251660288;mso-width-relative:page;mso-height-relative:page;" filled="f" stroked="t" coordsize="21600,21600" o:gfxdata="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kAO302AAAAAkB&#10;AAAPAAAAAAAAAAEAIAAAACIAAABkcnMvZG93bnJldi54bWxQSwECFAAUAAAACACHTuJAWeXb4OIB&#10;AADfAwAADgAAAAAAAAABACAAAAAnAQAAZHJzL2Uyb0RvYy54bWxQSwUGAAAAAAYABgBZAQAAewUA&#10;AAAA&#10;">
                <v:fill on="f" focussize="0,0"/>
                <v:stroke weight="2.75pt" color="#FF0000" joinstyle="round"/>
                <v:imagedata o:title=""/>
                <o:lock v:ext="edit" aspectratio="f"/>
              </v:line>
            </w:pict>
          </mc:Fallback>
        </mc:AlternateConten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 xml:space="preserve">  关于印发《岱山县2022年城乡环境综合整治提升行动实施方案》的通知</w:t>
      </w:r>
    </w:p>
    <w:p>
      <w:pPr>
        <w:jc w:val="center"/>
        <w:rPr>
          <w:rFonts w:ascii="方正小标宋简体" w:eastAsia="方正小标宋简体"/>
          <w:sz w:val="44"/>
          <w:szCs w:val="44"/>
        </w:rPr>
      </w:pPr>
    </w:p>
    <w:p>
      <w:pPr>
        <w:rPr>
          <w:rFonts w:ascii="仿宋_GB2312" w:eastAsia="仿宋_GB2312"/>
          <w:sz w:val="32"/>
          <w:szCs w:val="32"/>
        </w:rPr>
      </w:pPr>
      <w:r>
        <w:rPr>
          <w:rFonts w:hint="eastAsia" w:ascii="仿宋_GB2312" w:eastAsia="仿宋_GB2312"/>
          <w:sz w:val="32"/>
          <w:szCs w:val="32"/>
        </w:rPr>
        <w:t>各相关部门：</w:t>
      </w:r>
    </w:p>
    <w:p>
      <w:pPr>
        <w:ind w:firstLine="640" w:firstLineChars="200"/>
        <w:rPr>
          <w:rFonts w:ascii="仿宋_GB2312" w:eastAsia="仿宋_GB2312"/>
          <w:sz w:val="32"/>
          <w:szCs w:val="32"/>
        </w:rPr>
      </w:pPr>
      <w:r>
        <w:rPr>
          <w:rFonts w:hint="eastAsia" w:ascii="仿宋_GB2312" w:eastAsia="仿宋_GB2312"/>
          <w:sz w:val="32"/>
          <w:szCs w:val="32"/>
        </w:rPr>
        <w:t>现将《岱山县2022年城乡环境综合整治提升行动实施方案》印发给你们，请各单位遵照执行。</w:t>
      </w: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rPr>
          <w:rFonts w:ascii="黑体" w:hAnsi="黑体" w:eastAsia="黑体" w:cs="方正小标宋简体"/>
          <w:kern w:val="0"/>
          <w:sz w:val="32"/>
          <w:szCs w:val="32"/>
        </w:rPr>
      </w:pPr>
    </w:p>
    <w:p>
      <w:pPr>
        <w:autoSpaceDE w:val="0"/>
        <w:autoSpaceDN w:val="0"/>
        <w:adjustRightInd w:val="0"/>
        <w:jc w:val="center"/>
        <w:rPr>
          <w:rFonts w:ascii="仿宋_GB2312" w:eastAsia="仿宋_GB2312"/>
          <w:sz w:val="32"/>
          <w:szCs w:val="32"/>
        </w:rPr>
      </w:pPr>
      <w:r>
        <w:rPr>
          <w:rFonts w:hint="eastAsia" w:ascii="仿宋_GB2312" w:eastAsia="仿宋_GB2312"/>
          <w:sz w:val="32"/>
          <w:szCs w:val="32"/>
        </w:rPr>
        <w:t xml:space="preserve">  岱山县城乡环境综合整治领导小组办公室</w:t>
      </w:r>
    </w:p>
    <w:p>
      <w:pPr>
        <w:autoSpaceDE w:val="0"/>
        <w:autoSpaceDN w:val="0"/>
        <w:adjustRightInd w:val="0"/>
        <w:jc w:val="center"/>
        <w:rPr>
          <w:rFonts w:ascii="仿宋_GB2312" w:eastAsia="仿宋_GB2312"/>
          <w:sz w:val="32"/>
          <w:szCs w:val="32"/>
        </w:rPr>
      </w:pPr>
      <w:r>
        <w:rPr>
          <w:rFonts w:hint="eastAsia" w:ascii="仿宋_GB2312" w:eastAsia="仿宋_GB2312"/>
          <w:sz w:val="32"/>
          <w:szCs w:val="32"/>
        </w:rPr>
        <w:t>2022年5月6日</w:t>
      </w:r>
    </w:p>
    <w:p>
      <w:pPr>
        <w:pStyle w:val="2"/>
        <w:spacing w:line="480" w:lineRule="exact"/>
        <w:ind w:firstLine="0" w:firstLineChars="0"/>
        <w:rPr>
          <w:rFonts w:hint="eastAsia"/>
        </w:rPr>
      </w:pPr>
      <w:bookmarkStart w:id="0" w:name="Body"/>
      <w:bookmarkEnd w:id="0"/>
    </w:p>
    <w:p>
      <w:pPr>
        <w:widowControl/>
        <w:spacing w:line="480" w:lineRule="exact"/>
        <w:jc w:val="left"/>
        <w:rPr>
          <w:rFonts w:hint="eastAsia" w:ascii="黑体" w:hAnsi="黑体" w:eastAsia="黑体"/>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p>
    <w:p>
      <w:pPr>
        <w:spacing w:line="596" w:lineRule="exact"/>
        <w:textAlignment w:val="top"/>
        <w:rPr>
          <w:rFonts w:hint="eastAsia" w:ascii="仿宋_GB2312" w:hAnsi="宋体" w:eastAsia="仿宋_GB2312"/>
          <w:sz w:val="32"/>
          <w:szCs w:val="32"/>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349250</wp:posOffset>
                </wp:positionV>
                <wp:extent cx="5436235" cy="635"/>
                <wp:effectExtent l="0" t="0" r="0" b="0"/>
                <wp:wrapNone/>
                <wp:docPr id="3" name="直线 253"/>
                <wp:cNvGraphicFramePr/>
                <a:graphic xmlns:a="http://schemas.openxmlformats.org/drawingml/2006/main">
                  <a:graphicData uri="http://schemas.microsoft.com/office/word/2010/wordprocessingShape">
                    <wps:wsp>
                      <wps:cNvCnPr/>
                      <wps:spPr>
                        <a:xfrm>
                          <a:off x="0" y="0"/>
                          <a:ext cx="543623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253" o:spid="_x0000_s1026" o:spt="20" style="position:absolute;left:0pt;margin-left:0pt;margin-top:27.5pt;height:0.05pt;width:428.05pt;z-index:251661312;mso-width-relative:page;mso-height-relative:page;" filled="f" stroked="t" coordsize="21600,21600" o:gfxdata="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loqCPSAAAABgEA&#10;AA8AAAAAAAAAAQAgAAAAIgAAAGRycy9kb3ducmV2LnhtbFBLAQIUABQAAAAIAIdO4kAj/qsM5wEA&#10;AN8DAAAOAAAAAAAAAAEAIAAAACEBAABkcnMvZTJvRG9jLnhtbFBLBQYAAAAABgAGAFkBAAB6BQAA&#10;AAA=&#10;">
                <v:fill on="f" focussize="0,0"/>
                <v:stroke weight="0.5pt" color="#000000" joinstyle="round"/>
                <v:imagedata o:title=""/>
                <o:lock v:ext="edit" aspectratio="f"/>
              </v:line>
            </w:pict>
          </mc:Fallback>
        </mc:AlternateContent>
      </w:r>
    </w:p>
    <w:p>
      <w:pPr>
        <w:spacing w:line="500" w:lineRule="exact"/>
        <w:ind w:firstLine="126" w:firstLineChars="50"/>
        <w:textAlignment w:val="top"/>
        <w:rPr>
          <w:rFonts w:hint="eastAsia" w:ascii="仿宋_GB2312" w:eastAsia="仿宋_GB2312"/>
          <w:w w:val="90"/>
          <w:sz w:val="28"/>
        </w:rPr>
      </w:pPr>
      <w:r>
        <w:rPr>
          <w:rFonts w:eastAsia="仿宋_GB2312"/>
          <w:w w:val="90"/>
          <w:sz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320675</wp:posOffset>
                </wp:positionV>
                <wp:extent cx="5436235" cy="635"/>
                <wp:effectExtent l="0" t="0" r="0" b="0"/>
                <wp:wrapNone/>
                <wp:docPr id="4" name="直线 5"/>
                <wp:cNvGraphicFramePr/>
                <a:graphic xmlns:a="http://schemas.openxmlformats.org/drawingml/2006/main">
                  <a:graphicData uri="http://schemas.microsoft.com/office/word/2010/wordprocessingShape">
                    <wps:wsp>
                      <wps:cNvCnPr/>
                      <wps:spPr>
                        <a:xfrm>
                          <a:off x="0" y="0"/>
                          <a:ext cx="5436235" cy="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0.75pt;margin-top:25.25pt;height:0.05pt;width:428.05pt;z-index:251662336;mso-width-relative:page;mso-height-relative:page;" filled="f" stroked="t" coordsize="21600,21600" o:gfxdata="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x5zrdUAAAAI&#10;AQAADwAAAAAAAAABACAAAAAiAAAAZHJzL2Rvd25yZXYueG1sUEsBAhQAFAAAAAgAh07iQGPH8u7m&#10;AQAA3QMAAA4AAAAAAAAAAQAgAAAAJAEAAGRycy9lMm9Eb2MueG1sUEsFBgAAAAAGAAYAWQEAAHwF&#10;AAAAAA==&#10;">
                <v:fill on="f" focussize="0,0"/>
                <v:stroke weight="0.5pt" color="#000000" joinstyle="round"/>
                <v:imagedata o:title=""/>
                <o:lock v:ext="edit" aspectratio="f"/>
              </v:line>
            </w:pict>
          </mc:Fallback>
        </mc:AlternateContent>
      </w:r>
      <w:r>
        <w:rPr>
          <w:rFonts w:hint="eastAsia" w:ascii="仿宋_GB2312" w:eastAsia="仿宋_GB2312"/>
          <w:w w:val="90"/>
          <w:sz w:val="32"/>
          <w:szCs w:val="32"/>
        </w:rPr>
        <w:t xml:space="preserve">岱山县城乡环境综合整治领导小组办公室   </w:t>
      </w:r>
      <w:r>
        <w:rPr>
          <w:rFonts w:hint="eastAsia" w:ascii="仿宋_GB2312" w:eastAsia="仿宋_GB2312"/>
          <w:w w:val="90"/>
          <w:sz w:val="28"/>
          <w:szCs w:val="28"/>
        </w:rPr>
        <w:t xml:space="preserve">  2022</w:t>
      </w:r>
      <w:r>
        <w:rPr>
          <w:rFonts w:hint="eastAsia" w:eastAsia="仿宋_GB2312"/>
          <w:w w:val="90"/>
          <w:sz w:val="28"/>
          <w:szCs w:val="28"/>
        </w:rPr>
        <w:t>年5月6日印发</w:t>
      </w:r>
    </w:p>
    <w:p>
      <w:pPr>
        <w:autoSpaceDE w:val="0"/>
        <w:autoSpaceDN w:val="0"/>
        <w:adjustRightInd w:val="0"/>
        <w:spacing w:line="600" w:lineRule="exact"/>
        <w:jc w:val="center"/>
        <w:rPr>
          <w:rFonts w:ascii="方正小标宋简体" w:hAnsi="·½ÕýÐ¡±êËÎ¼òÌå" w:eastAsia="方正小标宋简体" w:cs="方正小标宋简体"/>
          <w:kern w:val="0"/>
          <w:sz w:val="44"/>
          <w:szCs w:val="44"/>
        </w:rPr>
      </w:pPr>
      <w:r>
        <w:rPr>
          <w:rFonts w:hint="eastAsia" w:ascii="方正小标宋简体" w:hAnsi="·½ÕýÐ¡±êËÎ¼òÌå" w:eastAsia="方正小标宋简体" w:cs="方正小标宋简体"/>
          <w:kern w:val="0"/>
          <w:sz w:val="44"/>
          <w:szCs w:val="44"/>
        </w:rPr>
        <w:t xml:space="preserve">  岱山县</w:t>
      </w:r>
      <w:r>
        <w:rPr>
          <w:rFonts w:hint="eastAsia" w:ascii="方正小标宋简体" w:hAnsi="·½ÕýÐ¡±êËÎ¼òÌå" w:eastAsia="方正小标宋简体" w:cs="·½ÕýÐ¡±êËÎ¼òÌå"/>
          <w:kern w:val="0"/>
          <w:sz w:val="44"/>
          <w:szCs w:val="44"/>
        </w:rPr>
        <w:t>2022</w:t>
      </w:r>
      <w:r>
        <w:rPr>
          <w:rFonts w:hint="eastAsia" w:ascii="方正小标宋简体" w:hAnsi="·½ÕýÐ¡±êËÎ¼òÌå" w:eastAsia="方正小标宋简体" w:cs="方正小标宋简体"/>
          <w:kern w:val="0"/>
          <w:sz w:val="44"/>
          <w:szCs w:val="44"/>
        </w:rPr>
        <w:t>年城乡环境综合整治</w:t>
      </w:r>
    </w:p>
    <w:p>
      <w:pPr>
        <w:autoSpaceDE w:val="0"/>
        <w:autoSpaceDN w:val="0"/>
        <w:adjustRightInd w:val="0"/>
        <w:spacing w:line="600" w:lineRule="exact"/>
        <w:jc w:val="center"/>
        <w:rPr>
          <w:rFonts w:ascii="方正小标宋简体" w:hAnsi="·½ÕýÐ¡±êËÎ¼òÌå" w:eastAsia="方正小标宋简体" w:cs="方正小标宋简体"/>
          <w:kern w:val="0"/>
          <w:sz w:val="44"/>
          <w:szCs w:val="44"/>
        </w:rPr>
      </w:pPr>
      <w:r>
        <w:rPr>
          <w:rFonts w:hint="eastAsia" w:ascii="方正小标宋简体" w:hAnsi="·½ÕýÐ¡±êËÎ¼òÌå" w:eastAsia="方正小标宋简体" w:cs="方正小标宋简体"/>
          <w:kern w:val="0"/>
          <w:sz w:val="44"/>
          <w:szCs w:val="44"/>
        </w:rPr>
        <w:t>提升行动实施方案</w:t>
      </w:r>
    </w:p>
    <w:p>
      <w:pPr>
        <w:autoSpaceDE w:val="0"/>
        <w:autoSpaceDN w:val="0"/>
        <w:adjustRightInd w:val="0"/>
        <w:jc w:val="center"/>
        <w:rPr>
          <w:rFonts w:ascii="方正小标宋简体" w:hAnsi="·½ÕýÐ¡±êËÎ¼òÌå" w:eastAsia="方正小标宋简体" w:cs="方正小标宋简体"/>
          <w:kern w:val="0"/>
          <w:sz w:val="32"/>
          <w:szCs w:val="32"/>
        </w:rPr>
      </w:pPr>
    </w:p>
    <w:p>
      <w:pPr>
        <w:autoSpaceDE w:val="0"/>
        <w:autoSpaceDN w:val="0"/>
        <w:adjustRightInd w:val="0"/>
        <w:spacing w:line="560" w:lineRule="exact"/>
        <w:ind w:firstLine="480" w:firstLineChars="150"/>
        <w:rPr>
          <w:rFonts w:ascii="仿宋_GB2312" w:hAnsi="·½ÕýÐ¡±êËÎ¼òÌå" w:eastAsia="仿宋_GB2312" w:cs="仿宋_GB2312"/>
          <w:kern w:val="0"/>
          <w:sz w:val="32"/>
          <w:szCs w:val="32"/>
        </w:rPr>
      </w:pPr>
      <w:r>
        <w:rPr>
          <w:rFonts w:hint="eastAsia" w:ascii="仿宋_GB2312" w:hAnsi="·½ÕýÐ¡±êËÎ¼òÌå" w:eastAsia="仿宋_GB2312" w:cs="仿宋_GB2312"/>
          <w:kern w:val="0"/>
          <w:sz w:val="32"/>
          <w:szCs w:val="32"/>
        </w:rPr>
        <w:t>为深入贯彻落实习近平总书记“城市管理应该像绣花一样精细”的重要指示精神，持续推进海岛花园城建设，全面提升城市精细化管理水平，</w:t>
      </w:r>
      <w:r>
        <w:rPr>
          <w:rFonts w:hint="eastAsia" w:ascii="仿宋_GB2312" w:hAnsi="·ÂËÎ_GB2312" w:eastAsia="仿宋_GB2312" w:cs="·ÂËÎ_GB2312"/>
          <w:kern w:val="0"/>
          <w:sz w:val="32"/>
          <w:szCs w:val="32"/>
        </w:rPr>
        <w:t xml:space="preserve">2022 </w:t>
      </w:r>
      <w:r>
        <w:rPr>
          <w:rFonts w:hint="eastAsia" w:ascii="仿宋_GB2312" w:hAnsi="·½ÕýÐ¡±êËÎ¼òÌå" w:eastAsia="仿宋_GB2312" w:cs="仿宋_GB2312"/>
          <w:kern w:val="0"/>
          <w:sz w:val="32"/>
          <w:szCs w:val="32"/>
        </w:rPr>
        <w:t>年实施城乡环境综合整治提升行动，特制定本方案。</w:t>
      </w:r>
    </w:p>
    <w:p>
      <w:pPr>
        <w:autoSpaceDE w:val="0"/>
        <w:autoSpaceDN w:val="0"/>
        <w:adjustRightInd w:val="0"/>
        <w:spacing w:line="560" w:lineRule="exact"/>
        <w:ind w:firstLine="800" w:firstLineChars="250"/>
        <w:jc w:val="left"/>
        <w:rPr>
          <w:rFonts w:ascii="黑体" w:eastAsia="黑体" w:cs="黑体"/>
          <w:kern w:val="0"/>
          <w:sz w:val="32"/>
          <w:szCs w:val="32"/>
        </w:rPr>
      </w:pPr>
      <w:r>
        <w:rPr>
          <w:rFonts w:hint="eastAsia" w:ascii="黑体" w:eastAsia="黑体" w:cs="黑体"/>
          <w:kern w:val="0"/>
          <w:sz w:val="32"/>
          <w:szCs w:val="32"/>
        </w:rPr>
        <w:t>一、指导思想</w:t>
      </w:r>
    </w:p>
    <w:p>
      <w:pPr>
        <w:autoSpaceDE w:val="0"/>
        <w:autoSpaceDN w:val="0"/>
        <w:adjustRightInd w:val="0"/>
        <w:spacing w:line="56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以习近平新时代中国特色社会主义思想为指导，全面贯彻落实党的十九大</w:t>
      </w:r>
      <w:r>
        <w:rPr>
          <w:rFonts w:hint="eastAsia" w:ascii="仿宋_GB2312" w:eastAsia="仿宋_GB2312" w:cs="仿宋_GB2312"/>
          <w:kern w:val="0"/>
          <w:sz w:val="32"/>
          <w:szCs w:val="32"/>
          <w:lang w:val="en-US" w:eastAsia="zh-CN"/>
        </w:rPr>
        <w:t>和</w:t>
      </w:r>
      <w:r>
        <w:rPr>
          <w:rFonts w:hint="eastAsia" w:ascii="仿宋_GB2312" w:eastAsia="仿宋_GB2312" w:cs="仿宋_GB2312"/>
          <w:kern w:val="0"/>
          <w:sz w:val="32"/>
          <w:szCs w:val="32"/>
        </w:rPr>
        <w:t>十九届历次全会精神、省委十四届十次全会和市委七届十三次全会、县</w:t>
      </w:r>
      <w:r>
        <w:rPr>
          <w:rFonts w:hint="eastAsia" w:ascii="仿宋_GB2312" w:eastAsia="仿宋_GB2312" w:cs="仿宋_GB2312"/>
          <w:kern w:val="0"/>
          <w:sz w:val="32"/>
          <w:szCs w:val="32"/>
          <w:lang w:val="en-US" w:eastAsia="zh-CN"/>
        </w:rPr>
        <w:t>第</w:t>
      </w:r>
      <w:r>
        <w:rPr>
          <w:rFonts w:hint="eastAsia" w:ascii="仿宋_GB2312" w:eastAsia="仿宋_GB2312" w:cs="仿宋_GB2312"/>
          <w:kern w:val="0"/>
          <w:sz w:val="32"/>
          <w:szCs w:val="32"/>
        </w:rPr>
        <w:t>十四次党代会</w:t>
      </w:r>
      <w:r>
        <w:rPr>
          <w:rFonts w:hint="eastAsia" w:ascii="仿宋_GB2312" w:eastAsia="仿宋_GB2312"/>
          <w:sz w:val="32"/>
        </w:rPr>
        <w:t>精神，</w:t>
      </w:r>
      <w:r>
        <w:rPr>
          <w:rFonts w:hint="eastAsia" w:ascii="仿宋_GB2312" w:eastAsia="仿宋_GB2312" w:cs="仿宋_GB2312"/>
          <w:kern w:val="0"/>
          <w:sz w:val="32"/>
          <w:szCs w:val="32"/>
        </w:rPr>
        <w:t>紧紧围绕加快建设“四个岱山”，奋力打造“重要窗口”海岛风景，以“绣花”理念提升城市管理水平，高质量推进城市精品建设，不断增强群众获得感幸福感安全感。</w:t>
      </w:r>
    </w:p>
    <w:p>
      <w:pPr>
        <w:autoSpaceDE w:val="0"/>
        <w:autoSpaceDN w:val="0"/>
        <w:adjustRightInd w:val="0"/>
        <w:spacing w:line="560" w:lineRule="exact"/>
        <w:ind w:firstLine="800" w:firstLineChars="250"/>
        <w:jc w:val="left"/>
        <w:rPr>
          <w:rFonts w:ascii="黑体" w:eastAsia="黑体" w:cs="黑体"/>
          <w:kern w:val="0"/>
          <w:sz w:val="32"/>
          <w:szCs w:val="32"/>
        </w:rPr>
      </w:pPr>
      <w:r>
        <w:rPr>
          <w:rFonts w:hint="eastAsia" w:ascii="黑体" w:eastAsia="黑体" w:cs="黑体"/>
          <w:kern w:val="0"/>
          <w:sz w:val="32"/>
          <w:szCs w:val="32"/>
        </w:rPr>
        <w:t>二、行动目标</w:t>
      </w:r>
    </w:p>
    <w:p>
      <w:pPr>
        <w:autoSpaceDE w:val="0"/>
        <w:spacing w:line="560" w:lineRule="exact"/>
        <w:ind w:firstLine="640" w:firstLineChars="200"/>
        <w:rPr>
          <w:rFonts w:eastAsia="仿宋_GB2312"/>
          <w:sz w:val="32"/>
          <w:szCs w:val="32"/>
        </w:rPr>
      </w:pPr>
      <w:r>
        <w:rPr>
          <w:rFonts w:hint="eastAsia" w:ascii="仿宋_GB2312" w:eastAsia="仿宋_GB2312" w:cs="仿宋_GB2312"/>
          <w:kern w:val="0"/>
          <w:sz w:val="32"/>
          <w:szCs w:val="32"/>
        </w:rPr>
        <w:t>通过实施整治行动，实现三个方面的工作目标：</w:t>
      </w:r>
      <w:r>
        <w:rPr>
          <w:rFonts w:eastAsia="仿宋_GB2312"/>
          <w:b/>
          <w:bCs/>
          <w:sz w:val="32"/>
          <w:szCs w:val="32"/>
        </w:rPr>
        <w:t>一是</w:t>
      </w:r>
      <w:r>
        <w:rPr>
          <w:rFonts w:hint="eastAsia" w:eastAsia="仿宋_GB2312"/>
          <w:b/>
          <w:bCs/>
          <w:sz w:val="32"/>
          <w:szCs w:val="32"/>
        </w:rPr>
        <w:t>推进高标准建设</w:t>
      </w:r>
      <w:r>
        <w:rPr>
          <w:rFonts w:eastAsia="仿宋_GB2312"/>
          <w:b/>
          <w:bCs/>
          <w:sz w:val="32"/>
          <w:szCs w:val="32"/>
        </w:rPr>
        <w:t>，提</w:t>
      </w:r>
      <w:r>
        <w:rPr>
          <w:rFonts w:hint="eastAsia" w:eastAsia="仿宋_GB2312"/>
          <w:b/>
          <w:bCs/>
          <w:sz w:val="32"/>
          <w:szCs w:val="32"/>
        </w:rPr>
        <w:t>升</w:t>
      </w:r>
      <w:r>
        <w:rPr>
          <w:rFonts w:eastAsia="仿宋_GB2312"/>
          <w:b/>
          <w:bCs/>
          <w:sz w:val="32"/>
          <w:szCs w:val="32"/>
        </w:rPr>
        <w:t>城市品质。</w:t>
      </w:r>
      <w:r>
        <w:rPr>
          <w:rFonts w:hint="eastAsia" w:eastAsia="仿宋_GB2312"/>
          <w:sz w:val="32"/>
          <w:szCs w:val="32"/>
        </w:rPr>
        <w:t>继续推进</w:t>
      </w:r>
      <w:r>
        <w:rPr>
          <w:rFonts w:eastAsia="仿宋_GB2312"/>
          <w:sz w:val="32"/>
          <w:szCs w:val="32"/>
        </w:rPr>
        <w:t>精品示范街</w:t>
      </w:r>
      <w:r>
        <w:rPr>
          <w:rFonts w:hint="eastAsia" w:eastAsia="仿宋_GB2312"/>
          <w:sz w:val="32"/>
          <w:szCs w:val="32"/>
        </w:rPr>
        <w:t>（路）</w:t>
      </w:r>
      <w:r>
        <w:rPr>
          <w:rFonts w:eastAsia="仿宋_GB2312"/>
          <w:sz w:val="32"/>
          <w:szCs w:val="32"/>
        </w:rPr>
        <w:t>建设</w:t>
      </w:r>
      <w:r>
        <w:rPr>
          <w:rFonts w:hint="eastAsia" w:eastAsia="仿宋_GB2312"/>
          <w:sz w:val="32"/>
          <w:szCs w:val="32"/>
        </w:rPr>
        <w:t>、</w:t>
      </w:r>
      <w:r>
        <w:rPr>
          <w:rFonts w:eastAsia="仿宋_GB2312"/>
          <w:sz w:val="32"/>
          <w:szCs w:val="32"/>
        </w:rPr>
        <w:t>“</w:t>
      </w:r>
      <w:r>
        <w:rPr>
          <w:rFonts w:ascii="仿宋_GB2312" w:eastAsia="仿宋_GB2312"/>
          <w:sz w:val="32"/>
          <w:szCs w:val="32"/>
        </w:rPr>
        <w:t>席地能坐</w:t>
      </w:r>
      <w:r>
        <w:rPr>
          <w:rFonts w:eastAsia="仿宋_GB2312"/>
          <w:sz w:val="32"/>
          <w:szCs w:val="32"/>
        </w:rPr>
        <w:t>”</w:t>
      </w:r>
      <w:r>
        <w:rPr>
          <w:rFonts w:ascii="仿宋_GB2312" w:eastAsia="仿宋_GB2312"/>
          <w:sz w:val="32"/>
          <w:szCs w:val="32"/>
        </w:rPr>
        <w:t>保洁区创建和</w:t>
      </w:r>
      <w:r>
        <w:rPr>
          <w:rFonts w:eastAsia="仿宋_GB2312"/>
          <w:sz w:val="32"/>
          <w:szCs w:val="32"/>
        </w:rPr>
        <w:t>“</w:t>
      </w:r>
      <w:r>
        <w:rPr>
          <w:rFonts w:ascii="仿宋_GB2312" w:eastAsia="仿宋_GB2312"/>
          <w:sz w:val="32"/>
          <w:szCs w:val="32"/>
        </w:rPr>
        <w:t>门前四包</w:t>
      </w:r>
      <w:r>
        <w:rPr>
          <w:rFonts w:eastAsia="仿宋_GB2312"/>
          <w:sz w:val="32"/>
          <w:szCs w:val="32"/>
        </w:rPr>
        <w:t>”</w:t>
      </w:r>
      <w:r>
        <w:rPr>
          <w:rFonts w:ascii="仿宋_GB2312" w:eastAsia="仿宋_GB2312"/>
          <w:sz w:val="32"/>
          <w:szCs w:val="32"/>
        </w:rPr>
        <w:t>示范街创建</w:t>
      </w:r>
      <w:r>
        <w:rPr>
          <w:rFonts w:hint="eastAsia" w:eastAsia="仿宋_GB2312"/>
          <w:sz w:val="32"/>
          <w:szCs w:val="32"/>
        </w:rPr>
        <w:t>，</w:t>
      </w:r>
      <w:r>
        <w:rPr>
          <w:rFonts w:hint="eastAsia" w:ascii="仿宋_GB2312" w:eastAsia="仿宋_GB2312"/>
          <w:sz w:val="32"/>
          <w:szCs w:val="32"/>
        </w:rPr>
        <w:t>以点带面，加强城市建设资金投入，以精品建设推进城市品质能级提升</w:t>
      </w:r>
      <w:r>
        <w:rPr>
          <w:rFonts w:eastAsia="仿宋_GB2312"/>
          <w:sz w:val="32"/>
          <w:szCs w:val="32"/>
        </w:rPr>
        <w:t>；</w:t>
      </w:r>
      <w:r>
        <w:rPr>
          <w:rFonts w:hint="eastAsia" w:eastAsia="仿宋_GB2312"/>
          <w:b/>
          <w:bCs/>
          <w:sz w:val="32"/>
          <w:szCs w:val="32"/>
        </w:rPr>
        <w:t>二</w:t>
      </w:r>
      <w:r>
        <w:rPr>
          <w:rFonts w:eastAsia="仿宋_GB2312"/>
          <w:b/>
          <w:bCs/>
          <w:sz w:val="32"/>
          <w:szCs w:val="32"/>
        </w:rPr>
        <w:t>是</w:t>
      </w:r>
      <w:r>
        <w:rPr>
          <w:rFonts w:hint="eastAsia" w:eastAsia="仿宋_GB2312"/>
          <w:b/>
          <w:bCs/>
          <w:sz w:val="32"/>
          <w:szCs w:val="32"/>
        </w:rPr>
        <w:t>补齐基础设施短板</w:t>
      </w:r>
      <w:r>
        <w:rPr>
          <w:rFonts w:eastAsia="仿宋_GB2312"/>
          <w:b/>
          <w:bCs/>
          <w:sz w:val="32"/>
          <w:szCs w:val="32"/>
        </w:rPr>
        <w:t>，</w:t>
      </w:r>
      <w:r>
        <w:rPr>
          <w:rFonts w:hint="eastAsia" w:eastAsia="仿宋_GB2312"/>
          <w:b/>
          <w:bCs/>
          <w:sz w:val="32"/>
          <w:szCs w:val="32"/>
        </w:rPr>
        <w:t>提升管理水平</w:t>
      </w:r>
      <w:r>
        <w:rPr>
          <w:rFonts w:eastAsia="仿宋_GB2312"/>
          <w:b/>
          <w:bCs/>
          <w:sz w:val="32"/>
          <w:szCs w:val="32"/>
        </w:rPr>
        <w:t>。</w:t>
      </w:r>
      <w:r>
        <w:rPr>
          <w:rFonts w:hint="eastAsia" w:eastAsia="仿宋_GB2312"/>
          <w:sz w:val="32"/>
          <w:szCs w:val="32"/>
        </w:rPr>
        <w:t>对</w:t>
      </w:r>
      <w:r>
        <w:rPr>
          <w:rFonts w:eastAsia="仿宋_GB2312"/>
          <w:sz w:val="32"/>
          <w:szCs w:val="32"/>
        </w:rPr>
        <w:t>背街小巷</w:t>
      </w:r>
      <w:r>
        <w:rPr>
          <w:rFonts w:hint="eastAsia" w:eastAsia="仿宋_GB2312"/>
          <w:sz w:val="32"/>
          <w:szCs w:val="32"/>
        </w:rPr>
        <w:t>基础设施薄弱、污水管网破损及装修垃圾投放点不足等方面问题进行改造提升，着力消除短板，切实提高基础设施运维水平</w:t>
      </w:r>
      <w:r>
        <w:rPr>
          <w:rFonts w:eastAsia="仿宋_GB2312"/>
          <w:sz w:val="32"/>
          <w:szCs w:val="32"/>
        </w:rPr>
        <w:t>；</w:t>
      </w:r>
      <w:r>
        <w:rPr>
          <w:rFonts w:hint="eastAsia" w:eastAsia="仿宋_GB2312"/>
          <w:b/>
          <w:bCs/>
          <w:sz w:val="32"/>
          <w:szCs w:val="32"/>
        </w:rPr>
        <w:t>三</w:t>
      </w:r>
      <w:r>
        <w:rPr>
          <w:rFonts w:eastAsia="仿宋_GB2312"/>
          <w:b/>
          <w:bCs/>
          <w:sz w:val="32"/>
          <w:szCs w:val="32"/>
        </w:rPr>
        <w:t>是</w:t>
      </w:r>
      <w:r>
        <w:rPr>
          <w:rFonts w:hint="eastAsia" w:eastAsia="仿宋_GB2312"/>
          <w:b/>
          <w:bCs/>
          <w:sz w:val="32"/>
          <w:szCs w:val="32"/>
        </w:rPr>
        <w:t>开展热点问题整治</w:t>
      </w:r>
      <w:r>
        <w:rPr>
          <w:rFonts w:eastAsia="仿宋_GB2312"/>
          <w:b/>
          <w:bCs/>
          <w:sz w:val="32"/>
          <w:szCs w:val="32"/>
        </w:rPr>
        <w:t>，提</w:t>
      </w:r>
      <w:r>
        <w:rPr>
          <w:rFonts w:hint="eastAsia" w:eastAsia="仿宋_GB2312"/>
          <w:b/>
          <w:bCs/>
          <w:sz w:val="32"/>
          <w:szCs w:val="32"/>
        </w:rPr>
        <w:t>升</w:t>
      </w:r>
      <w:r>
        <w:rPr>
          <w:rFonts w:eastAsia="仿宋_GB2312"/>
          <w:b/>
          <w:bCs/>
          <w:sz w:val="32"/>
          <w:szCs w:val="32"/>
        </w:rPr>
        <w:t>群众</w:t>
      </w:r>
      <w:r>
        <w:rPr>
          <w:rFonts w:hint="eastAsia" w:eastAsia="仿宋_GB2312"/>
          <w:b/>
          <w:bCs/>
          <w:sz w:val="32"/>
          <w:szCs w:val="32"/>
        </w:rPr>
        <w:t>获得感</w:t>
      </w:r>
      <w:r>
        <w:rPr>
          <w:rFonts w:eastAsia="仿宋_GB2312"/>
          <w:b/>
          <w:bCs/>
          <w:sz w:val="32"/>
          <w:szCs w:val="32"/>
        </w:rPr>
        <w:t>。</w:t>
      </w:r>
      <w:r>
        <w:rPr>
          <w:rFonts w:hint="eastAsia" w:eastAsia="仿宋_GB2312"/>
          <w:sz w:val="32"/>
          <w:szCs w:val="32"/>
        </w:rPr>
        <w:t>对道路挖掘乱象和“广场舞”噪音扰民等社会热点问题进行规范整治，出台管理规定，消除管理漏洞</w:t>
      </w:r>
      <w:r>
        <w:rPr>
          <w:rFonts w:eastAsia="仿宋_GB2312"/>
          <w:sz w:val="32"/>
          <w:szCs w:val="32"/>
        </w:rPr>
        <w:t>，</w:t>
      </w:r>
      <w:r>
        <w:rPr>
          <w:rFonts w:hint="eastAsia" w:eastAsia="仿宋_GB2312"/>
          <w:sz w:val="32"/>
          <w:szCs w:val="32"/>
        </w:rPr>
        <w:t>切实</w:t>
      </w:r>
      <w:r>
        <w:rPr>
          <w:rFonts w:eastAsia="仿宋_GB2312"/>
          <w:sz w:val="32"/>
          <w:szCs w:val="32"/>
        </w:rPr>
        <w:t>减少</w:t>
      </w:r>
      <w:r>
        <w:rPr>
          <w:rFonts w:hint="eastAsia" w:eastAsia="仿宋_GB2312"/>
          <w:sz w:val="32"/>
          <w:szCs w:val="32"/>
        </w:rPr>
        <w:t>对群众</w:t>
      </w:r>
      <w:r>
        <w:rPr>
          <w:rFonts w:eastAsia="仿宋_GB2312"/>
          <w:sz w:val="32"/>
          <w:szCs w:val="32"/>
        </w:rPr>
        <w:t>带来的</w:t>
      </w:r>
      <w:r>
        <w:rPr>
          <w:rFonts w:hint="eastAsia" w:eastAsia="仿宋_GB2312"/>
          <w:sz w:val="32"/>
          <w:szCs w:val="32"/>
        </w:rPr>
        <w:t>负面</w:t>
      </w:r>
      <w:r>
        <w:rPr>
          <w:rFonts w:eastAsia="仿宋_GB2312"/>
          <w:sz w:val="32"/>
          <w:szCs w:val="32"/>
        </w:rPr>
        <w:t>影响。</w:t>
      </w:r>
    </w:p>
    <w:p>
      <w:pPr>
        <w:autoSpaceDE w:val="0"/>
        <w:autoSpaceDN w:val="0"/>
        <w:adjustRightInd w:val="0"/>
        <w:spacing w:line="560" w:lineRule="exact"/>
        <w:ind w:firstLine="640" w:firstLineChars="200"/>
        <w:jc w:val="left"/>
        <w:rPr>
          <w:rFonts w:ascii="黑体" w:eastAsia="黑体" w:cs="黑体"/>
          <w:kern w:val="0"/>
          <w:sz w:val="32"/>
          <w:szCs w:val="32"/>
        </w:rPr>
      </w:pPr>
      <w:r>
        <w:rPr>
          <w:rFonts w:hint="eastAsia" w:ascii="黑体" w:eastAsia="黑体" w:cs="黑体"/>
          <w:kern w:val="0"/>
          <w:sz w:val="32"/>
          <w:szCs w:val="32"/>
        </w:rPr>
        <w:t>三、行动任务</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主要实施八项整治行动：</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楷体_GB2312" w:eastAsia="楷体_GB2312" w:cs="AdobeHeitiStd-Regular"/>
          <w:kern w:val="0"/>
          <w:sz w:val="32"/>
          <w:szCs w:val="32"/>
        </w:rPr>
        <w:t>（一）精品示范街（路）建设行动。</w:t>
      </w:r>
      <w:r>
        <w:rPr>
          <w:rFonts w:hint="eastAsia" w:ascii="仿宋_GB2312" w:eastAsia="仿宋_GB2312" w:cs="仿宋_GB2312"/>
          <w:kern w:val="0"/>
          <w:sz w:val="32"/>
          <w:szCs w:val="32"/>
        </w:rPr>
        <w:t>继续推进精品示范街（路）建设，重点围绕市区主次干道、商业大街道路路面、建筑立面、店招店牌、市政设施、园林绿化、景观亮化、城市家具、环境秩序等进行改造提升和规范整治，落实常态化、长效化管理机制。达到街（路）平整、美观，沿街（路）立面整洁、协调，绿化景观精致、美丽，城市家具干净、新颖，店招店牌规范、有特色，杆线箱减量整合，路牌标识统一、规范，空调机位合理设置、不外露、各种排水纳入管网，防盗窗内置、停车秩序良好、环境卫生整洁、整体视觉舒畅。</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实施范围：衢山大道东侧（飞舟路-星河路）</w:t>
      </w:r>
    </w:p>
    <w:p>
      <w:pPr>
        <w:spacing w:line="560" w:lineRule="exact"/>
        <w:ind w:firstLine="643" w:firstLineChars="200"/>
        <w:rPr>
          <w:rFonts w:eastAsia="仿宋_GB2312" w:cs="仿宋_GB2312"/>
          <w:b/>
          <w:bCs/>
          <w:sz w:val="32"/>
          <w:szCs w:val="32"/>
        </w:rPr>
      </w:pPr>
      <w:r>
        <w:rPr>
          <w:rFonts w:hint="eastAsia" w:eastAsia="仿宋_GB2312" w:cs="仿宋_GB2312"/>
          <w:b/>
          <w:bCs/>
          <w:sz w:val="32"/>
          <w:szCs w:val="32"/>
        </w:rPr>
        <w:t>（牵头单位：县住建局；责任单位：县综合行政执法局、县安澜城投集团；配合单位详见任务清单，下同）</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楷体_GB2312" w:eastAsia="楷体_GB2312" w:cs="AdobeHeitiStd-Regular"/>
          <w:kern w:val="0"/>
          <w:sz w:val="32"/>
          <w:szCs w:val="32"/>
        </w:rPr>
        <w:t>（二）“席地能坐”保洁区创建行动。</w:t>
      </w:r>
      <w:r>
        <w:rPr>
          <w:rFonts w:hint="eastAsia" w:ascii="仿宋_GB2312" w:eastAsia="仿宋_GB2312" w:cs="仿宋_GB2312"/>
          <w:kern w:val="0"/>
          <w:sz w:val="32"/>
          <w:szCs w:val="32"/>
        </w:rPr>
        <w:t>继续对城区公园广场、车站码头、中心商业区块等公共场所加大保洁力度和基础设施建设，营造能席地能坐的公共区域，在高亭城区新增3个“席地能坐”保洁区。同时，对2021年创建成功的5个“席地能坐”保洁区落实常态管理，做好巩固提升。</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实施范围：新增3处，包括：1、蓬莱会前休闲廊道；2、夜经济带休闲角；3、岱山县长途客运中心。巩固提升5处，包括：1、行政中心广场；2、高亭创客先锋联盟中心；3、新区观海平台；4、童梦园；5、新天地广场。</w:t>
      </w:r>
    </w:p>
    <w:p>
      <w:pPr>
        <w:spacing w:line="560" w:lineRule="exact"/>
        <w:ind w:firstLine="643" w:firstLineChars="200"/>
        <w:rPr>
          <w:rFonts w:eastAsia="仿宋_GB2312" w:cs="仿宋_GB2312"/>
          <w:b/>
          <w:bCs/>
          <w:sz w:val="32"/>
          <w:szCs w:val="32"/>
        </w:rPr>
      </w:pPr>
      <w:r>
        <w:rPr>
          <w:rFonts w:hint="eastAsia" w:eastAsia="仿宋_GB2312" w:cs="仿宋_GB2312"/>
          <w:b/>
          <w:bCs/>
          <w:sz w:val="32"/>
          <w:szCs w:val="32"/>
        </w:rPr>
        <w:t>（牵头单位：县综合行政执法局。责任单位：县经信局、县综合行政执法局、县交投集团、高亭镇）</w:t>
      </w:r>
    </w:p>
    <w:p>
      <w:pPr>
        <w:autoSpaceDE w:val="0"/>
        <w:autoSpaceDN w:val="0"/>
        <w:adjustRightInd w:val="0"/>
        <w:spacing w:line="560" w:lineRule="exact"/>
        <w:ind w:firstLine="480" w:firstLineChars="150"/>
        <w:rPr>
          <w:rFonts w:ascii="仿宋_GB2312" w:eastAsia="仿宋_GB2312" w:cs="仿宋_GB2312"/>
          <w:kern w:val="0"/>
          <w:sz w:val="32"/>
          <w:szCs w:val="32"/>
        </w:rPr>
      </w:pPr>
      <w:r>
        <w:rPr>
          <w:rFonts w:hint="eastAsia" w:ascii="楷体_GB2312" w:eastAsia="楷体_GB2312" w:cs="AdobeHeitiStd-Regular"/>
          <w:kern w:val="0"/>
          <w:sz w:val="32"/>
          <w:szCs w:val="32"/>
        </w:rPr>
        <w:t>（三）环境卫生责任区制度（门前四包）示范街创建行动。</w:t>
      </w:r>
      <w:r>
        <w:rPr>
          <w:rFonts w:hint="eastAsia" w:ascii="仿宋_GB2312" w:eastAsia="仿宋_GB2312" w:cs="仿宋_GB2312"/>
          <w:kern w:val="0"/>
          <w:sz w:val="32"/>
          <w:szCs w:val="32"/>
        </w:rPr>
        <w:t>继续推进环境卫生责任区制度（即：门前四包）落实，采取示范引领、以点带面的方法，建设环境卫生责任区制度示范街，通过严查严管、检查考评、</w:t>
      </w:r>
      <w:r>
        <w:rPr>
          <w:rFonts w:hint="eastAsia" w:ascii="TimesNewRoman" w:eastAsia="TimesNewRoman" w:cs="TimesNewRoman"/>
          <w:kern w:val="0"/>
          <w:sz w:val="32"/>
          <w:szCs w:val="32"/>
        </w:rPr>
        <w:t>“</w:t>
      </w:r>
      <w:r>
        <w:rPr>
          <w:rFonts w:hint="eastAsia" w:ascii="仿宋_GB2312" w:eastAsia="仿宋_GB2312" w:cs="仿宋_GB2312"/>
          <w:kern w:val="0"/>
          <w:sz w:val="32"/>
          <w:szCs w:val="32"/>
        </w:rPr>
        <w:t>红黑榜</w:t>
      </w:r>
      <w:r>
        <w:rPr>
          <w:rFonts w:hint="eastAsia" w:ascii="TimesNewRoman" w:eastAsia="TimesNewRoman" w:cs="TimesNewRoman"/>
          <w:kern w:val="0"/>
          <w:sz w:val="32"/>
          <w:szCs w:val="32"/>
        </w:rPr>
        <w:t>”</w:t>
      </w:r>
      <w:r>
        <w:rPr>
          <w:rFonts w:hint="eastAsia" w:ascii="仿宋_GB2312" w:eastAsia="仿宋_GB2312" w:cs="仿宋_GB2312"/>
          <w:kern w:val="0"/>
          <w:sz w:val="32"/>
          <w:szCs w:val="32"/>
        </w:rPr>
        <w:t>上墙公布等措施，督促经营单位及相关责任主体自觉履行环境卫生责任区责任、义务，推进精细化管理，建立完善常态化长效管理机制。</w:t>
      </w:r>
    </w:p>
    <w:p>
      <w:pPr>
        <w:autoSpaceDE w:val="0"/>
        <w:autoSpaceDN w:val="0"/>
        <w:adjustRightInd w:val="0"/>
        <w:spacing w:line="560" w:lineRule="exact"/>
        <w:ind w:firstLine="480" w:firstLineChars="150"/>
        <w:rPr>
          <w:rFonts w:ascii="仿宋_GB2312" w:eastAsia="仿宋_GB2312" w:cs="仿宋_GB2312"/>
          <w:kern w:val="0"/>
          <w:sz w:val="32"/>
          <w:szCs w:val="32"/>
        </w:rPr>
      </w:pPr>
      <w:r>
        <w:rPr>
          <w:rFonts w:hint="eastAsia" w:ascii="仿宋_GB2312" w:eastAsia="仿宋_GB2312" w:cs="仿宋_GB2312"/>
          <w:kern w:val="0"/>
          <w:sz w:val="32"/>
          <w:szCs w:val="32"/>
        </w:rPr>
        <w:t>实施范围：</w:t>
      </w:r>
      <w:r>
        <w:rPr>
          <w:rFonts w:ascii="仿宋_GB2312" w:eastAsia="仿宋_GB2312" w:cs="仿宋_GB2312"/>
          <w:kern w:val="0"/>
          <w:sz w:val="32"/>
          <w:szCs w:val="32"/>
        </w:rPr>
        <w:t>钓海路（衢山大道-兰秀大道）</w:t>
      </w:r>
      <w:r>
        <w:rPr>
          <w:rFonts w:hint="eastAsia" w:ascii="仿宋_GB2312" w:eastAsia="仿宋_GB2312" w:cs="仿宋_GB2312"/>
          <w:kern w:val="0"/>
          <w:sz w:val="32"/>
          <w:szCs w:val="32"/>
        </w:rPr>
        <w:t>。</w:t>
      </w:r>
    </w:p>
    <w:p>
      <w:pPr>
        <w:spacing w:line="560" w:lineRule="exact"/>
        <w:ind w:firstLine="643" w:firstLineChars="200"/>
        <w:rPr>
          <w:rFonts w:eastAsia="仿宋_GB2312" w:cs="仿宋_GB2312"/>
          <w:b/>
          <w:bCs/>
          <w:sz w:val="32"/>
          <w:szCs w:val="32"/>
        </w:rPr>
      </w:pPr>
      <w:r>
        <w:rPr>
          <w:rFonts w:hint="eastAsia" w:eastAsia="仿宋_GB2312" w:cs="仿宋_GB2312"/>
          <w:b/>
          <w:bCs/>
          <w:sz w:val="32"/>
          <w:szCs w:val="32"/>
        </w:rPr>
        <w:t>（牵头单位：县综合行政执法局。责任单位：县综合行政执法局、县市场监督管理局）</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楷体_GB2312" w:eastAsia="楷体_GB2312" w:cs="AdobeHeitiStd-Regular"/>
          <w:kern w:val="0"/>
          <w:sz w:val="32"/>
          <w:szCs w:val="32"/>
        </w:rPr>
        <w:t>（四）背街小巷改造提升行动。</w:t>
      </w:r>
      <w:r>
        <w:rPr>
          <w:rFonts w:hint="eastAsia" w:ascii="仿宋_GB2312" w:eastAsia="仿宋_GB2312" w:cs="仿宋_GB2312"/>
          <w:kern w:val="0"/>
          <w:sz w:val="32"/>
          <w:szCs w:val="32"/>
        </w:rPr>
        <w:t>继续推进城区背街小巷整治，重点围绕路面不平、路灯不亮、污水乱排、管线乱拉及跨门经营、占道堆物、流动设摊、乱扔垃圾、乱停车等问题，落实常态化管理措施，达到道路硬化平整，雨污管道畅通，建筑立面、市政设施、绿化完好无破损，无非法搭建，空中（立面）管线整齐有序，无乱拉乱牵，停车泊位设置合理，停放整齐。</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实施范围：</w:t>
      </w:r>
      <w:r>
        <w:rPr>
          <w:rFonts w:ascii="仿宋_GB2312" w:eastAsia="仿宋_GB2312" w:cs="仿宋_GB2312"/>
          <w:kern w:val="0"/>
          <w:sz w:val="32"/>
          <w:szCs w:val="32"/>
        </w:rPr>
        <w:t>康嘉路（长河路</w:t>
      </w:r>
      <w:r>
        <w:rPr>
          <w:rFonts w:hint="eastAsia" w:ascii="仿宋_GB2312" w:eastAsia="仿宋_GB2312" w:cs="仿宋_GB2312"/>
          <w:kern w:val="0"/>
          <w:sz w:val="32"/>
          <w:szCs w:val="32"/>
        </w:rPr>
        <w:t>-</w:t>
      </w:r>
      <w:r>
        <w:rPr>
          <w:rFonts w:ascii="仿宋_GB2312" w:eastAsia="仿宋_GB2312" w:cs="仿宋_GB2312"/>
          <w:kern w:val="0"/>
          <w:sz w:val="32"/>
          <w:szCs w:val="32"/>
        </w:rPr>
        <w:t>环城北路）</w:t>
      </w:r>
    </w:p>
    <w:p>
      <w:pPr>
        <w:spacing w:line="560" w:lineRule="exact"/>
        <w:ind w:firstLine="643" w:firstLineChars="200"/>
        <w:rPr>
          <w:rFonts w:eastAsia="仿宋_GB2312" w:cs="仿宋_GB2312"/>
          <w:b/>
          <w:bCs/>
          <w:sz w:val="32"/>
          <w:szCs w:val="32"/>
        </w:rPr>
      </w:pPr>
      <w:r>
        <w:rPr>
          <w:rFonts w:hint="eastAsia" w:eastAsia="仿宋_GB2312" w:cs="仿宋_GB2312"/>
          <w:b/>
          <w:bCs/>
          <w:sz w:val="32"/>
          <w:szCs w:val="32"/>
        </w:rPr>
        <w:t>（牵头单位：县住建局；责任单位：县公安局、县综合行政执法局、县安澜城投集团）</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楷体_GB2312" w:eastAsia="楷体_GB2312" w:cs="仿宋_GB2312"/>
          <w:kern w:val="0"/>
          <w:sz w:val="32"/>
          <w:szCs w:val="32"/>
        </w:rPr>
        <w:t>（五）污水管网提升改造行动。</w:t>
      </w:r>
      <w:r>
        <w:rPr>
          <w:rFonts w:hint="eastAsia" w:ascii="仿宋_GB2312" w:eastAsia="仿宋_GB2312" w:cs="仿宋_GB2312"/>
          <w:kern w:val="0"/>
          <w:sz w:val="32"/>
          <w:szCs w:val="32"/>
        </w:rPr>
        <w:t>围绕目前城区污水管网破损严重、覆盖面不足等问题，对部分城区管网进行改造提升，新建污水配套管网，扩大污水收集范围，全县新建改建污水管网1公里。</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实施范围：高亭城区。</w:t>
      </w:r>
    </w:p>
    <w:p>
      <w:pPr>
        <w:autoSpaceDE w:val="0"/>
        <w:autoSpaceDN w:val="0"/>
        <w:adjustRightInd w:val="0"/>
        <w:spacing w:line="560" w:lineRule="exact"/>
        <w:ind w:firstLine="630" w:firstLineChars="196"/>
        <w:rPr>
          <w:rFonts w:eastAsia="仿宋_GB2312" w:cs="仿宋_GB2312"/>
          <w:b/>
          <w:bCs/>
          <w:sz w:val="32"/>
          <w:szCs w:val="32"/>
        </w:rPr>
      </w:pPr>
      <w:r>
        <w:rPr>
          <w:rFonts w:hint="eastAsia" w:eastAsia="仿宋_GB2312" w:cs="仿宋_GB2312"/>
          <w:b/>
          <w:bCs/>
          <w:sz w:val="32"/>
          <w:szCs w:val="32"/>
        </w:rPr>
        <w:t>（牵头单位：县住建局。责任单位：县住建局、县综合行政执法局、县安澜城投集团）</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楷体_GB2312" w:eastAsia="楷体_GB2312" w:cs="AdobeHeitiStd-Regular"/>
          <w:kern w:val="0"/>
          <w:sz w:val="32"/>
          <w:szCs w:val="32"/>
        </w:rPr>
        <w:t>（六）装修垃圾规范处置行动。</w:t>
      </w:r>
      <w:r>
        <w:rPr>
          <w:rFonts w:hint="eastAsia" w:ascii="仿宋_GB2312" w:eastAsia="仿宋_GB2312" w:cs="仿宋_GB2312"/>
          <w:kern w:val="0"/>
          <w:sz w:val="32"/>
          <w:szCs w:val="32"/>
        </w:rPr>
        <w:t>对装修垃圾实行全过程管理，完善装修垃圾处置流程，按照“城区每个居民小区设置一个投放点，农村每个乡镇设置一个集置点，每个行政村设置一个投放点”的目标逐年规范提升，实行清运专业化运输，严厉打击偷排乱倒等违法行为，从而提高装修垃圾规范化处置水平。</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实施范围：岱山县各乡镇（除秀山乡）。</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目标任务：首批规范提升高亭物业小区内的建筑垃圾投放点</w:t>
      </w:r>
      <w:r>
        <w:rPr>
          <w:rFonts w:hint="eastAsia" w:eastAsia="仿宋_GB2312"/>
          <w:kern w:val="0"/>
          <w:sz w:val="32"/>
          <w:szCs w:val="32"/>
        </w:rPr>
        <w:t>11</w:t>
      </w:r>
      <w:r>
        <w:rPr>
          <w:rFonts w:hint="eastAsia" w:ascii="仿宋_GB2312" w:eastAsia="仿宋_GB2312" w:cs="仿宋_GB2312"/>
          <w:kern w:val="0"/>
          <w:sz w:val="32"/>
          <w:szCs w:val="32"/>
        </w:rPr>
        <w:t>个；在城中村设置建筑垃圾投放点</w:t>
      </w:r>
      <w:r>
        <w:rPr>
          <w:rFonts w:eastAsia="仿宋_GB2312"/>
          <w:kern w:val="0"/>
          <w:sz w:val="32"/>
          <w:szCs w:val="32"/>
        </w:rPr>
        <w:t>2</w:t>
      </w:r>
      <w:r>
        <w:rPr>
          <w:rFonts w:hint="eastAsia" w:ascii="仿宋_GB2312" w:eastAsia="仿宋_GB2312" w:cs="仿宋_GB2312"/>
          <w:kern w:val="0"/>
          <w:sz w:val="32"/>
          <w:szCs w:val="32"/>
        </w:rPr>
        <w:t>个；规范提升分拣中转场</w:t>
      </w:r>
      <w:r>
        <w:rPr>
          <w:rFonts w:eastAsia="仿宋_GB2312"/>
          <w:kern w:val="0"/>
          <w:sz w:val="32"/>
          <w:szCs w:val="32"/>
        </w:rPr>
        <w:t>1</w:t>
      </w:r>
      <w:r>
        <w:rPr>
          <w:rFonts w:hint="eastAsia" w:ascii="仿宋_GB2312" w:eastAsia="仿宋_GB2312" w:cs="仿宋_GB2312"/>
          <w:kern w:val="0"/>
          <w:sz w:val="32"/>
          <w:szCs w:val="32"/>
        </w:rPr>
        <w:t>个；规范提升各乡镇渔农村装修垃圾投放点</w:t>
      </w:r>
      <w:r>
        <w:rPr>
          <w:rFonts w:hint="eastAsia" w:eastAsia="仿宋_GB2312"/>
          <w:kern w:val="0"/>
          <w:sz w:val="32"/>
          <w:szCs w:val="32"/>
        </w:rPr>
        <w:t>30</w:t>
      </w:r>
      <w:r>
        <w:rPr>
          <w:rFonts w:hint="eastAsia" w:ascii="仿宋_GB2312" w:eastAsia="仿宋_GB2312" w:cs="仿宋_GB2312"/>
          <w:kern w:val="0"/>
          <w:sz w:val="32"/>
          <w:szCs w:val="32"/>
        </w:rPr>
        <w:t>个、临时集置点</w:t>
      </w:r>
      <w:r>
        <w:rPr>
          <w:rFonts w:hint="eastAsia" w:eastAsia="仿宋_GB2312"/>
          <w:kern w:val="0"/>
          <w:sz w:val="32"/>
          <w:szCs w:val="32"/>
        </w:rPr>
        <w:t>6</w:t>
      </w:r>
      <w:r>
        <w:rPr>
          <w:rFonts w:hint="eastAsia" w:ascii="仿宋_GB2312" w:eastAsia="仿宋_GB2312" w:cs="仿宋_GB2312"/>
          <w:kern w:val="0"/>
          <w:sz w:val="32"/>
          <w:szCs w:val="32"/>
        </w:rPr>
        <w:t>个。</w:t>
      </w:r>
    </w:p>
    <w:p>
      <w:pPr>
        <w:autoSpaceDE w:val="0"/>
        <w:autoSpaceDN w:val="0"/>
        <w:adjustRightInd w:val="0"/>
        <w:spacing w:line="560" w:lineRule="exact"/>
        <w:ind w:firstLine="630" w:firstLineChars="196"/>
        <w:rPr>
          <w:rFonts w:ascii="仿宋_GB2312" w:eastAsia="仿宋_GB2312" w:cs="仿宋_GB2312"/>
          <w:b/>
          <w:kern w:val="0"/>
          <w:sz w:val="32"/>
          <w:szCs w:val="32"/>
        </w:rPr>
      </w:pPr>
      <w:r>
        <w:rPr>
          <w:rFonts w:hint="eastAsia" w:ascii="仿宋_GB2312" w:eastAsia="仿宋_GB2312" w:cs="仿宋_GB2312"/>
          <w:b/>
          <w:kern w:val="0"/>
          <w:sz w:val="32"/>
          <w:szCs w:val="32"/>
        </w:rPr>
        <w:t>（牵头单位：县综合行政执法局、县农业农村局。责任单位：县住建局、县综合行政执法局、县农业农村局、</w:t>
      </w:r>
      <w:r>
        <w:rPr>
          <w:rFonts w:ascii="仿宋_GB2312" w:eastAsia="仿宋_GB2312" w:cs="仿宋_GB2312"/>
          <w:b/>
          <w:kern w:val="0"/>
          <w:sz w:val="32"/>
          <w:szCs w:val="32"/>
        </w:rPr>
        <w:t>高亭镇、东沙镇、岱西镇、岱东镇、长涂镇、衢山镇</w:t>
      </w:r>
      <w:r>
        <w:rPr>
          <w:rFonts w:hint="eastAsia" w:ascii="仿宋_GB2312" w:eastAsia="仿宋_GB2312" w:cs="仿宋_GB2312"/>
          <w:b/>
          <w:kern w:val="0"/>
          <w:sz w:val="32"/>
          <w:szCs w:val="32"/>
        </w:rPr>
        <w:t>）</w:t>
      </w:r>
    </w:p>
    <w:p>
      <w:pPr>
        <w:autoSpaceDE w:val="0"/>
        <w:autoSpaceDN w:val="0"/>
        <w:adjustRightInd w:val="0"/>
        <w:spacing w:line="560" w:lineRule="exact"/>
        <w:ind w:firstLine="480" w:firstLineChars="150"/>
        <w:rPr>
          <w:rFonts w:ascii="仿宋_GB2312" w:eastAsia="仿宋_GB2312" w:cs="仿宋_GB2312"/>
          <w:kern w:val="0"/>
          <w:sz w:val="32"/>
          <w:szCs w:val="32"/>
        </w:rPr>
      </w:pPr>
      <w:r>
        <w:rPr>
          <w:rFonts w:hint="eastAsia" w:ascii="楷体_GB2312" w:eastAsia="楷体_GB2312" w:cs="AdobeHeitiStd-Regular"/>
          <w:kern w:val="0"/>
          <w:sz w:val="32"/>
          <w:szCs w:val="32"/>
        </w:rPr>
        <w:t>（七）“马路拉链”规范行动。</w:t>
      </w:r>
      <w:r>
        <w:rPr>
          <w:rFonts w:hint="eastAsia" w:ascii="仿宋_GB2312" w:eastAsia="仿宋_GB2312" w:cs="仿宋_GB2312"/>
          <w:kern w:val="0"/>
          <w:sz w:val="32"/>
          <w:szCs w:val="32"/>
        </w:rPr>
        <w:t xml:space="preserve">根据城市管理精细化要求，建立配合协作、信息沟通长效机制，严格落实城市道路挖掘审批（备案）制度，强化事中事后监管，加大对违法行为的查处力度，进一步规范全县城区道路挖掘管理。 </w:t>
      </w:r>
    </w:p>
    <w:p>
      <w:pPr>
        <w:autoSpaceDE w:val="0"/>
        <w:autoSpaceDN w:val="0"/>
        <w:adjustRightInd w:val="0"/>
        <w:spacing w:line="560" w:lineRule="exact"/>
        <w:ind w:firstLine="480" w:firstLineChars="150"/>
        <w:rPr>
          <w:rFonts w:ascii="仿宋_GB2312" w:eastAsia="仿宋_GB2312" w:cs="仿宋_GB2312"/>
          <w:kern w:val="0"/>
          <w:sz w:val="32"/>
          <w:szCs w:val="32"/>
        </w:rPr>
      </w:pPr>
      <w:r>
        <w:rPr>
          <w:rFonts w:hint="eastAsia" w:ascii="仿宋_GB2312" w:eastAsia="仿宋_GB2312" w:cs="仿宋_GB2312"/>
          <w:kern w:val="0"/>
          <w:sz w:val="32"/>
          <w:szCs w:val="32"/>
        </w:rPr>
        <w:t>实施范围：高亭城区。</w:t>
      </w:r>
    </w:p>
    <w:p>
      <w:pPr>
        <w:autoSpaceDE w:val="0"/>
        <w:autoSpaceDN w:val="0"/>
        <w:adjustRightInd w:val="0"/>
        <w:spacing w:line="560" w:lineRule="exact"/>
        <w:ind w:firstLine="480" w:firstLineChars="150"/>
        <w:rPr>
          <w:rFonts w:ascii="仿宋_GB2312" w:eastAsia="仿宋_GB2312" w:cs="仿宋_GB2312"/>
          <w:kern w:val="0"/>
          <w:sz w:val="32"/>
          <w:szCs w:val="32"/>
        </w:rPr>
      </w:pPr>
      <w:r>
        <w:rPr>
          <w:rFonts w:hint="eastAsia" w:ascii="仿宋_GB2312" w:eastAsia="仿宋_GB2312" w:cs="仿宋_GB2312"/>
          <w:kern w:val="0"/>
          <w:sz w:val="32"/>
          <w:szCs w:val="32"/>
        </w:rPr>
        <w:t>目标任务：根据指导意见，明确管理实施细则，强化审批（备案）事中事后监管，减少</w:t>
      </w:r>
      <w:r>
        <w:rPr>
          <w:rFonts w:hint="eastAsia" w:ascii="TimesNewRoman" w:eastAsia="TimesNewRoman" w:cs="TimesNewRoman"/>
          <w:kern w:val="0"/>
          <w:sz w:val="32"/>
          <w:szCs w:val="32"/>
        </w:rPr>
        <w:t>“</w:t>
      </w:r>
      <w:r>
        <w:rPr>
          <w:rFonts w:hint="eastAsia" w:ascii="仿宋_GB2312" w:eastAsia="仿宋_GB2312" w:cs="仿宋_GB2312"/>
          <w:kern w:val="0"/>
          <w:sz w:val="32"/>
          <w:szCs w:val="32"/>
        </w:rPr>
        <w:t>马路拉链</w:t>
      </w:r>
      <w:r>
        <w:rPr>
          <w:rFonts w:hint="eastAsia" w:ascii="TimesNewRoman" w:eastAsia="TimesNewRoman" w:cs="TimesNewRoman"/>
          <w:kern w:val="0"/>
          <w:sz w:val="32"/>
          <w:szCs w:val="32"/>
        </w:rPr>
        <w:t>”</w:t>
      </w:r>
      <w:r>
        <w:rPr>
          <w:rFonts w:hint="eastAsia" w:ascii="仿宋_GB2312" w:eastAsia="仿宋_GB2312" w:cs="仿宋_GB2312"/>
          <w:kern w:val="0"/>
          <w:sz w:val="32"/>
          <w:szCs w:val="32"/>
        </w:rPr>
        <w:t>现象。</w:t>
      </w:r>
    </w:p>
    <w:p>
      <w:pPr>
        <w:autoSpaceDE w:val="0"/>
        <w:autoSpaceDN w:val="0"/>
        <w:adjustRightInd w:val="0"/>
        <w:spacing w:line="560" w:lineRule="exact"/>
        <w:ind w:firstLine="482" w:firstLineChars="150"/>
        <w:rPr>
          <w:rFonts w:eastAsia="仿宋_GB2312" w:cs="仿宋_GB2312"/>
          <w:b/>
          <w:bCs/>
          <w:sz w:val="32"/>
          <w:szCs w:val="32"/>
        </w:rPr>
      </w:pPr>
      <w:r>
        <w:rPr>
          <w:rFonts w:hint="eastAsia" w:eastAsia="仿宋_GB2312" w:cs="仿宋_GB2312"/>
          <w:b/>
          <w:bCs/>
          <w:sz w:val="32"/>
          <w:szCs w:val="32"/>
        </w:rPr>
        <w:t>（牵头单位：县综合行政执法局、县住建局。责任单位：县安澜城投集团、各管线权属单位）</w:t>
      </w:r>
    </w:p>
    <w:p>
      <w:pPr>
        <w:autoSpaceDE w:val="0"/>
        <w:autoSpaceDN w:val="0"/>
        <w:adjustRightInd w:val="0"/>
        <w:spacing w:line="560" w:lineRule="exact"/>
        <w:rPr>
          <w:rFonts w:ascii="仿宋_GB2312" w:eastAsia="仿宋_GB2312" w:cs="仿宋_GB2312"/>
          <w:kern w:val="0"/>
          <w:sz w:val="32"/>
          <w:szCs w:val="32"/>
        </w:rPr>
      </w:pPr>
      <w:r>
        <w:rPr>
          <w:rFonts w:hint="eastAsia" w:ascii="楷体_GB2312" w:eastAsia="楷体_GB2312" w:cs="仿宋_GB2312"/>
          <w:kern w:val="0"/>
          <w:sz w:val="32"/>
          <w:szCs w:val="32"/>
        </w:rPr>
        <w:t xml:space="preserve">   （八）“广场舞”规范整治行动。</w:t>
      </w:r>
      <w:r>
        <w:rPr>
          <w:rFonts w:hint="eastAsia" w:ascii="仿宋_GB2312" w:eastAsia="仿宋_GB2312" w:cs="仿宋_GB2312"/>
          <w:kern w:val="0"/>
          <w:sz w:val="32"/>
          <w:szCs w:val="32"/>
        </w:rPr>
        <w:t>对市民群众反映强烈的广场舞点进行规范管理，通过控制音响分贝、明确舞点、限定人数、时间等要素，减少广场舞对市民群众带来的噪声音响，强化制度约束，提高各舞团自我管理能力。</w:t>
      </w:r>
    </w:p>
    <w:p>
      <w:pPr>
        <w:autoSpaceDE w:val="0"/>
        <w:autoSpaceDN w:val="0"/>
        <w:adjustRightInd w:val="0"/>
        <w:spacing w:line="560" w:lineRule="exact"/>
        <w:ind w:firstLine="800" w:firstLineChars="250"/>
        <w:rPr>
          <w:rFonts w:ascii="仿宋_GB2312" w:eastAsia="仿宋_GB2312" w:cs="仿宋_GB2312"/>
          <w:kern w:val="0"/>
          <w:sz w:val="32"/>
          <w:szCs w:val="32"/>
        </w:rPr>
      </w:pPr>
      <w:r>
        <w:rPr>
          <w:rFonts w:hint="eastAsia" w:ascii="仿宋_GB2312" w:eastAsia="仿宋_GB2312" w:cs="仿宋_GB2312"/>
          <w:kern w:val="0"/>
          <w:sz w:val="32"/>
          <w:szCs w:val="32"/>
        </w:rPr>
        <w:t>目标任务：对</w:t>
      </w:r>
      <w:r>
        <w:rPr>
          <w:rFonts w:hint="eastAsia" w:eastAsia="仿宋_GB2312"/>
          <w:kern w:val="0"/>
          <w:sz w:val="32"/>
          <w:szCs w:val="32"/>
        </w:rPr>
        <w:t>2</w:t>
      </w:r>
      <w:r>
        <w:rPr>
          <w:rFonts w:hint="eastAsia" w:ascii="仿宋_GB2312" w:eastAsia="仿宋_GB2312" w:cs="仿宋_GB2312"/>
          <w:kern w:val="0"/>
          <w:sz w:val="32"/>
          <w:szCs w:val="32"/>
        </w:rPr>
        <w:t>个群众反映强烈的舞点进行整治。</w:t>
      </w:r>
    </w:p>
    <w:p>
      <w:pPr>
        <w:autoSpaceDE w:val="0"/>
        <w:autoSpaceDN w:val="0"/>
        <w:adjustRightInd w:val="0"/>
        <w:spacing w:line="560" w:lineRule="exact"/>
        <w:ind w:firstLine="800" w:firstLineChars="250"/>
        <w:rPr>
          <w:rFonts w:ascii="仿宋_GB2312" w:eastAsia="仿宋_GB2312" w:cs="仿宋_GB2312"/>
          <w:kern w:val="0"/>
          <w:sz w:val="32"/>
          <w:szCs w:val="32"/>
        </w:rPr>
      </w:pPr>
      <w:r>
        <w:rPr>
          <w:rFonts w:hint="eastAsia" w:ascii="仿宋_GB2312" w:eastAsia="仿宋_GB2312" w:cs="仿宋_GB2312"/>
          <w:kern w:val="0"/>
          <w:sz w:val="32"/>
          <w:szCs w:val="32"/>
        </w:rPr>
        <w:t>实施范围：1、行政中心广场；2、新区观海平台。</w:t>
      </w:r>
    </w:p>
    <w:p>
      <w:pPr>
        <w:autoSpaceDE w:val="0"/>
        <w:autoSpaceDN w:val="0"/>
        <w:adjustRightInd w:val="0"/>
        <w:spacing w:line="560" w:lineRule="exact"/>
        <w:ind w:firstLine="482" w:firstLineChars="150"/>
        <w:rPr>
          <w:rFonts w:ascii="仿宋_GB2312" w:eastAsia="仿宋_GB2312" w:cs="仿宋_GB2312"/>
          <w:b/>
          <w:kern w:val="0"/>
          <w:sz w:val="32"/>
          <w:szCs w:val="32"/>
        </w:rPr>
      </w:pPr>
      <w:r>
        <w:rPr>
          <w:rFonts w:hint="eastAsia" w:ascii="仿宋_GB2312" w:eastAsia="仿宋_GB2312" w:cs="仿宋_GB2312"/>
          <w:b/>
          <w:kern w:val="0"/>
          <w:sz w:val="32"/>
          <w:szCs w:val="32"/>
        </w:rPr>
        <w:t>（牵头单位：县综合行政执法局、县公安局。责任单位：责任单位：县公安局、县文旅局、县综合行政执法局、市生态环境局岱山分局）</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四、行动步骤</w:t>
      </w:r>
    </w:p>
    <w:p>
      <w:pPr>
        <w:autoSpaceDE w:val="0"/>
        <w:autoSpaceDN w:val="0"/>
        <w:adjustRightInd w:val="0"/>
        <w:spacing w:line="56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整治行动实施步骤分</w:t>
      </w:r>
      <w:r>
        <w:rPr>
          <w:rFonts w:eastAsia="仿宋_GB2312"/>
          <w:kern w:val="0"/>
          <w:sz w:val="32"/>
          <w:szCs w:val="32"/>
        </w:rPr>
        <w:t xml:space="preserve">3 </w:t>
      </w:r>
      <w:r>
        <w:rPr>
          <w:rFonts w:hint="eastAsia" w:ascii="仿宋_GB2312" w:eastAsia="仿宋_GB2312" w:cs="仿宋_GB2312"/>
          <w:kern w:val="0"/>
          <w:sz w:val="32"/>
          <w:szCs w:val="32"/>
        </w:rPr>
        <w:t>个阶段：</w:t>
      </w:r>
    </w:p>
    <w:p>
      <w:pPr>
        <w:spacing w:line="560" w:lineRule="exact"/>
        <w:ind w:firstLine="640" w:firstLineChars="200"/>
        <w:rPr>
          <w:rFonts w:ascii="楷体_GB2312" w:eastAsia="楷体_GB2312"/>
          <w:sz w:val="32"/>
        </w:rPr>
      </w:pPr>
      <w:r>
        <w:rPr>
          <w:rFonts w:hint="eastAsia" w:ascii="楷体_GB2312" w:eastAsia="楷体_GB2312"/>
          <w:sz w:val="32"/>
        </w:rPr>
        <w:t>（一）准备阶段（2022年4月中旬）</w:t>
      </w:r>
    </w:p>
    <w:p>
      <w:pPr>
        <w:spacing w:line="560" w:lineRule="exact"/>
        <w:ind w:firstLine="640" w:firstLineChars="200"/>
        <w:rPr>
          <w:rFonts w:eastAsia="仿宋_GB2312"/>
          <w:sz w:val="32"/>
        </w:rPr>
      </w:pPr>
      <w:r>
        <w:rPr>
          <w:rFonts w:eastAsia="仿宋_GB2312"/>
          <w:sz w:val="32"/>
        </w:rPr>
        <w:t>制定《</w:t>
      </w:r>
      <w:r>
        <w:rPr>
          <w:rFonts w:hint="eastAsia" w:eastAsia="仿宋_GB2312"/>
          <w:sz w:val="32"/>
        </w:rPr>
        <w:t>岱山县2022年城乡环境综合整治提升行动实施方案</w:t>
      </w:r>
      <w:r>
        <w:rPr>
          <w:rFonts w:eastAsia="仿宋_GB2312"/>
          <w:sz w:val="32"/>
        </w:rPr>
        <w:t>》，明确各项行动的目标任务，对行动涉及的相关内容进行排摸，确定具体的点位、数量、基本情况。各牵头单位根据总体方案，制定</w:t>
      </w:r>
      <w:r>
        <w:rPr>
          <w:rFonts w:hint="eastAsia" w:eastAsia="仿宋_GB2312"/>
          <w:sz w:val="32"/>
        </w:rPr>
        <w:t>8</w:t>
      </w:r>
      <w:r>
        <w:rPr>
          <w:rFonts w:eastAsia="仿宋_GB2312"/>
          <w:sz w:val="32"/>
        </w:rPr>
        <w:t>项行动的具体细化方案以及月度计划进度清单。</w:t>
      </w:r>
    </w:p>
    <w:p>
      <w:pPr>
        <w:spacing w:line="560" w:lineRule="exact"/>
        <w:ind w:firstLine="640" w:firstLineChars="200"/>
        <w:rPr>
          <w:rFonts w:ascii="楷体_GB2312" w:eastAsia="楷体_GB2312"/>
          <w:sz w:val="32"/>
        </w:rPr>
      </w:pPr>
      <w:r>
        <w:rPr>
          <w:rFonts w:hint="eastAsia" w:ascii="楷体_GB2312" w:eastAsia="楷体_GB2312"/>
          <w:sz w:val="32"/>
        </w:rPr>
        <w:t>（二）集中行动阶段（</w:t>
      </w:r>
      <w:r>
        <w:rPr>
          <w:rFonts w:ascii="楷体_GB2312" w:eastAsia="楷体_GB2312"/>
          <w:sz w:val="32"/>
        </w:rPr>
        <w:t xml:space="preserve">2022 </w:t>
      </w:r>
      <w:r>
        <w:rPr>
          <w:rFonts w:hint="eastAsia" w:ascii="楷体_GB2312" w:eastAsia="楷体_GB2312"/>
          <w:sz w:val="32"/>
        </w:rPr>
        <w:t>年4月下旬到</w:t>
      </w:r>
      <w:r>
        <w:rPr>
          <w:rFonts w:ascii="楷体_GB2312" w:eastAsia="楷体_GB2312"/>
          <w:sz w:val="32"/>
        </w:rPr>
        <w:t>1</w:t>
      </w:r>
      <w:r>
        <w:rPr>
          <w:rFonts w:hint="eastAsia" w:ascii="楷体_GB2312" w:eastAsia="楷体_GB2312"/>
          <w:sz w:val="32"/>
        </w:rPr>
        <w:t>2月下旬）</w:t>
      </w:r>
    </w:p>
    <w:p>
      <w:pPr>
        <w:autoSpaceDE w:val="0"/>
        <w:autoSpaceDN w:val="0"/>
        <w:adjustRightInd w:val="0"/>
        <w:spacing w:line="560" w:lineRule="exact"/>
        <w:ind w:firstLine="480" w:firstLineChars="150"/>
        <w:rPr>
          <w:rFonts w:ascii="仿宋_GB2312" w:eastAsia="仿宋_GB2312" w:cs="仿宋_GB2312"/>
          <w:kern w:val="0"/>
          <w:sz w:val="32"/>
          <w:szCs w:val="32"/>
        </w:rPr>
      </w:pPr>
      <w:r>
        <w:rPr>
          <w:rFonts w:hint="eastAsia" w:ascii="仿宋_GB2312" w:eastAsia="仿宋_GB2312" w:cs="仿宋_GB2312"/>
          <w:kern w:val="0"/>
          <w:sz w:val="32"/>
          <w:szCs w:val="32"/>
        </w:rPr>
        <w:t xml:space="preserve"> 各牵头单位、责任单位和配合单位根据实施方案、目标任务、进度清单和相关工作要求，全力以赴抓好各项行动的推进工作，把握进度与时间节点，争取提前超额完成。行动中要加强沟通协调，明确职责任务，确保质量和效果。</w:t>
      </w:r>
    </w:p>
    <w:p>
      <w:pPr>
        <w:spacing w:line="560" w:lineRule="exact"/>
        <w:ind w:firstLine="640" w:firstLineChars="200"/>
        <w:rPr>
          <w:rFonts w:ascii="楷体_GB2312" w:eastAsia="楷体_GB2312"/>
          <w:sz w:val="32"/>
        </w:rPr>
      </w:pPr>
      <w:r>
        <w:rPr>
          <w:rFonts w:hint="eastAsia" w:ascii="楷体_GB2312" w:eastAsia="楷体_GB2312"/>
          <w:sz w:val="32"/>
        </w:rPr>
        <w:t>（三）考核验收阶段（</w:t>
      </w:r>
      <w:r>
        <w:rPr>
          <w:rFonts w:ascii="楷体_GB2312" w:eastAsia="楷体_GB2312"/>
          <w:sz w:val="32"/>
        </w:rPr>
        <w:t xml:space="preserve">2022 </w:t>
      </w:r>
      <w:r>
        <w:rPr>
          <w:rFonts w:hint="eastAsia" w:ascii="楷体_GB2312" w:eastAsia="楷体_GB2312"/>
          <w:sz w:val="32"/>
        </w:rPr>
        <w:t>年年底）</w:t>
      </w:r>
    </w:p>
    <w:p>
      <w:pPr>
        <w:spacing w:line="560" w:lineRule="exact"/>
        <w:ind w:firstLine="640" w:firstLineChars="200"/>
        <w:rPr>
          <w:rFonts w:eastAsia="仿宋_GB2312"/>
          <w:sz w:val="32"/>
        </w:rPr>
      </w:pPr>
      <w:r>
        <w:rPr>
          <w:rFonts w:hint="eastAsia" w:eastAsia="仿宋_GB2312"/>
          <w:sz w:val="32"/>
        </w:rPr>
        <w:t>由县整治办对各牵头单位的全年目标任务完成情况进行综合验收，结合月度考评，综合评定考核成绩，报送县五大会战办公室和县督考部门，作为县委县政府对各相关单位年终考核的组成部分。</w:t>
      </w:r>
    </w:p>
    <w:p>
      <w:pPr>
        <w:autoSpaceDE w:val="0"/>
        <w:autoSpaceDN w:val="0"/>
        <w:adjustRightInd w:val="0"/>
        <w:spacing w:line="560" w:lineRule="exact"/>
        <w:ind w:firstLine="640" w:firstLineChars="200"/>
        <w:rPr>
          <w:rFonts w:ascii="黑体" w:eastAsia="黑体" w:cs="黑体"/>
          <w:kern w:val="0"/>
          <w:sz w:val="32"/>
          <w:szCs w:val="32"/>
        </w:rPr>
      </w:pPr>
      <w:r>
        <w:rPr>
          <w:rFonts w:hint="eastAsia" w:ascii="黑体" w:eastAsia="黑体" w:cs="黑体"/>
          <w:kern w:val="0"/>
          <w:sz w:val="32"/>
          <w:szCs w:val="32"/>
        </w:rPr>
        <w:t>五、行动保障</w:t>
      </w:r>
    </w:p>
    <w:p>
      <w:pPr>
        <w:ind w:firstLine="480" w:firstLineChars="150"/>
        <w:rPr>
          <w:rFonts w:ascii="Calibri" w:hAnsi="Calibri"/>
        </w:rPr>
      </w:pPr>
      <w:r>
        <w:rPr>
          <w:rFonts w:hint="eastAsia" w:ascii="楷体_GB2312" w:eastAsia="楷体_GB2312" w:cs="AdobeHeitiStd-Regular"/>
          <w:kern w:val="0"/>
          <w:sz w:val="32"/>
          <w:szCs w:val="32"/>
        </w:rPr>
        <w:t xml:space="preserve"> （一）加强组织领导。</w:t>
      </w:r>
      <w:r>
        <w:rPr>
          <w:rFonts w:hint="eastAsia" w:eastAsia="仿宋_GB2312"/>
          <w:sz w:val="32"/>
          <w:szCs w:val="32"/>
        </w:rPr>
        <w:t>城乡环境综合整治提升行动</w:t>
      </w:r>
      <w:r>
        <w:rPr>
          <w:rFonts w:hint="eastAsia" w:ascii="仿宋_GB2312" w:eastAsia="仿宋_GB2312" w:cs="仿宋_GB2312"/>
          <w:kern w:val="0"/>
          <w:sz w:val="32"/>
          <w:szCs w:val="32"/>
        </w:rPr>
        <w:t>是今年县委县政府确定继续实施的一项重点工作，也是我县创建全国县级文明城市的重要抓手。各牵头单位要切实履行主体责任，细化和落实各项行动任务。各责任单位要按照职责分工，落实牵头协调责任，确保各项行动有序推进。</w:t>
      </w:r>
    </w:p>
    <w:p>
      <w:pPr>
        <w:autoSpaceDE w:val="0"/>
        <w:autoSpaceDN w:val="0"/>
        <w:adjustRightInd w:val="0"/>
        <w:spacing w:line="560" w:lineRule="exact"/>
        <w:ind w:firstLine="480" w:firstLineChars="150"/>
        <w:rPr>
          <w:rFonts w:ascii="仿宋_GB2312" w:eastAsia="仿宋_GB2312" w:cs="仿宋_GB2312"/>
          <w:kern w:val="0"/>
          <w:sz w:val="32"/>
          <w:szCs w:val="32"/>
        </w:rPr>
      </w:pPr>
      <w:r>
        <w:rPr>
          <w:rFonts w:hint="eastAsia" w:ascii="楷体_GB2312" w:eastAsia="楷体_GB2312" w:cs="AdobeHeitiStd-Regular"/>
          <w:kern w:val="0"/>
          <w:sz w:val="32"/>
          <w:szCs w:val="32"/>
        </w:rPr>
        <w:t>（二）加强财政支持。</w:t>
      </w:r>
      <w:r>
        <w:rPr>
          <w:rFonts w:hint="eastAsia" w:ascii="仿宋_GB2312" w:eastAsia="仿宋_GB2312" w:cs="仿宋_GB2312"/>
          <w:kern w:val="0"/>
          <w:sz w:val="32"/>
          <w:szCs w:val="32"/>
        </w:rPr>
        <w:t>要落实资金保障，尤其在建设类项目，要加大财政投入，切实突出精品效应。管理上要加大装备、技术方面的投入，建立常态管控资金保障机制，确保各项行动取得实效。</w:t>
      </w:r>
    </w:p>
    <w:p>
      <w:pPr>
        <w:autoSpaceDE w:val="0"/>
        <w:autoSpaceDN w:val="0"/>
        <w:adjustRightInd w:val="0"/>
        <w:spacing w:line="560" w:lineRule="exact"/>
        <w:rPr>
          <w:rFonts w:ascii="仿宋_GB2312" w:eastAsia="仿宋_GB2312" w:cs="仿宋_GB2312"/>
          <w:kern w:val="0"/>
          <w:sz w:val="32"/>
          <w:szCs w:val="32"/>
        </w:rPr>
      </w:pPr>
      <w:r>
        <w:rPr>
          <w:rFonts w:hint="eastAsia" w:ascii="楷体_GB2312" w:eastAsia="楷体_GB2312" w:cs="AdobeHeitiStd-Regular"/>
          <w:kern w:val="0"/>
          <w:sz w:val="32"/>
          <w:szCs w:val="32"/>
        </w:rPr>
        <w:t xml:space="preserve">   （三）营造良好氛围。</w:t>
      </w:r>
      <w:r>
        <w:rPr>
          <w:rFonts w:hint="eastAsia" w:ascii="仿宋_GB2312" w:eastAsia="仿宋_GB2312" w:cs="仿宋_GB2312"/>
          <w:kern w:val="0"/>
          <w:sz w:val="32"/>
          <w:szCs w:val="32"/>
        </w:rPr>
        <w:t>要加强宣传引导，发挥主流媒体舆论导向作用，广泛开展各项宣传教育活动，增强社会组织、市民主动参与城市管理的意识，营造人民城市人民管的良好氛围。</w:t>
      </w:r>
    </w:p>
    <w:p>
      <w:pPr>
        <w:autoSpaceDE w:val="0"/>
        <w:autoSpaceDN w:val="0"/>
        <w:adjustRightInd w:val="0"/>
        <w:spacing w:line="560" w:lineRule="exact"/>
        <w:rPr>
          <w:rFonts w:ascii="仿宋_GB2312" w:eastAsia="仿宋_GB2312" w:cs="仿宋_GB2312"/>
          <w:kern w:val="0"/>
          <w:sz w:val="32"/>
          <w:szCs w:val="32"/>
        </w:rPr>
      </w:pPr>
      <w:r>
        <w:rPr>
          <w:rFonts w:hint="eastAsia" w:ascii="楷体_GB2312" w:eastAsia="楷体_GB2312" w:cs="AdobeHeitiStd-Regular"/>
          <w:kern w:val="0"/>
          <w:sz w:val="32"/>
          <w:szCs w:val="32"/>
        </w:rPr>
        <w:t xml:space="preserve">   （四）强化责任落实。县</w:t>
      </w:r>
      <w:r>
        <w:rPr>
          <w:rFonts w:hint="eastAsia" w:ascii="仿宋_GB2312" w:eastAsia="仿宋_GB2312" w:cs="仿宋_GB2312"/>
          <w:kern w:val="0"/>
          <w:sz w:val="32"/>
          <w:szCs w:val="32"/>
        </w:rPr>
        <w:t>整治办联合各牵头单位对各项任务加强督查检查，定期通报推进情况。对相关责任单位工作配合不力，推进不明显的，要及时进行通报，确保各项任务按期完成。</w:t>
      </w:r>
    </w:p>
    <w:p>
      <w:pPr>
        <w:spacing w:line="560" w:lineRule="exact"/>
        <w:ind w:firstLine="640" w:firstLineChars="200"/>
        <w:rPr>
          <w:rFonts w:hint="eastAsia" w:ascii="仿宋_GB2312" w:hAnsi="仿宋" w:eastAsia="仿宋_GB2312"/>
          <w:sz w:val="32"/>
          <w:szCs w:val="32"/>
        </w:rPr>
      </w:pPr>
    </w:p>
    <w:p>
      <w:pPr>
        <w:spacing w:line="560" w:lineRule="exact"/>
        <w:ind w:firstLine="640" w:firstLineChars="200"/>
        <w:rPr>
          <w:rFonts w:ascii="Calibri" w:hAnsi="Calibri"/>
        </w:rPr>
      </w:pPr>
      <w:r>
        <w:rPr>
          <w:rFonts w:hint="eastAsia" w:ascii="仿宋_GB2312" w:hAnsi="仿宋" w:eastAsia="仿宋_GB2312"/>
          <w:sz w:val="32"/>
          <w:szCs w:val="32"/>
        </w:rPr>
        <w:t>附件：</w:t>
      </w:r>
    </w:p>
    <w:p>
      <w:pPr>
        <w:spacing w:line="560" w:lineRule="exact"/>
        <w:rPr>
          <w:rFonts w:ascii="仿宋_GB2312" w:eastAsia="仿宋_GB2312"/>
          <w:sz w:val="32"/>
          <w:szCs w:val="32"/>
        </w:rPr>
      </w:pPr>
      <w:r>
        <w:rPr>
          <w:rFonts w:hint="eastAsia" w:ascii="仿宋_GB2312" w:eastAsia="仿宋_GB2312"/>
          <w:sz w:val="32"/>
          <w:szCs w:val="32"/>
        </w:rPr>
        <w:t xml:space="preserve">    1. 岱山县2022年城乡环境综合整治提升行动任务清单</w:t>
      </w:r>
    </w:p>
    <w:p>
      <w:pPr>
        <w:spacing w:line="560" w:lineRule="exact"/>
        <w:rPr>
          <w:rFonts w:ascii="仿宋_GB2312" w:eastAsia="仿宋_GB2312"/>
          <w:sz w:val="32"/>
          <w:szCs w:val="32"/>
        </w:rPr>
      </w:pPr>
      <w:r>
        <w:rPr>
          <w:rFonts w:hint="eastAsia" w:ascii="仿宋_GB2312" w:eastAsia="仿宋_GB2312"/>
          <w:sz w:val="32"/>
          <w:szCs w:val="32"/>
        </w:rPr>
        <w:t xml:space="preserve">    2.《岱山县2022年精品示范街（路）建设行动实施方案》</w:t>
      </w:r>
    </w:p>
    <w:p>
      <w:pPr>
        <w:spacing w:line="560" w:lineRule="exact"/>
        <w:rPr>
          <w:rFonts w:ascii="仿宋_GB2312" w:eastAsia="仿宋_GB2312"/>
          <w:sz w:val="32"/>
          <w:szCs w:val="32"/>
        </w:rPr>
      </w:pPr>
      <w:r>
        <w:rPr>
          <w:rFonts w:hint="eastAsia" w:ascii="仿宋_GB2312" w:eastAsia="仿宋_GB2312"/>
          <w:sz w:val="32"/>
          <w:szCs w:val="32"/>
        </w:rPr>
        <w:t xml:space="preserve">    3.《岱山县2022年“席地能坐”保洁区创建行动实施方案》</w:t>
      </w:r>
    </w:p>
    <w:p>
      <w:pPr>
        <w:spacing w:line="560" w:lineRule="exact"/>
        <w:rPr>
          <w:rFonts w:ascii="仿宋_GB2312" w:eastAsia="仿宋_GB2312"/>
          <w:sz w:val="32"/>
          <w:szCs w:val="32"/>
        </w:rPr>
      </w:pPr>
      <w:r>
        <w:rPr>
          <w:rFonts w:hint="eastAsia" w:ascii="仿宋_GB2312" w:eastAsia="仿宋_GB2312"/>
          <w:sz w:val="32"/>
          <w:szCs w:val="32"/>
        </w:rPr>
        <w:t xml:space="preserve">    4.《岱山县2022年环境卫生责任区制度（门前四包）示范街创建行动实施方案》</w:t>
      </w:r>
    </w:p>
    <w:p>
      <w:pPr>
        <w:spacing w:line="560" w:lineRule="exact"/>
        <w:rPr>
          <w:rFonts w:ascii="仿宋_GB2312" w:eastAsia="仿宋_GB2312"/>
          <w:sz w:val="32"/>
          <w:szCs w:val="32"/>
        </w:rPr>
      </w:pPr>
      <w:r>
        <w:rPr>
          <w:rFonts w:hint="eastAsia" w:ascii="仿宋_GB2312" w:eastAsia="仿宋_GB2312"/>
          <w:sz w:val="32"/>
          <w:szCs w:val="32"/>
        </w:rPr>
        <w:t xml:space="preserve">    5.《岱山县2022年背街小巷改造提升行动实施方案》 </w:t>
      </w:r>
    </w:p>
    <w:p>
      <w:pPr>
        <w:spacing w:line="560" w:lineRule="exact"/>
        <w:rPr>
          <w:rFonts w:ascii="仿宋_GB2312" w:eastAsia="仿宋_GB2312"/>
          <w:sz w:val="32"/>
          <w:szCs w:val="32"/>
        </w:rPr>
      </w:pPr>
      <w:r>
        <w:rPr>
          <w:rFonts w:hint="eastAsia" w:ascii="仿宋_GB2312" w:eastAsia="仿宋_GB2312"/>
          <w:sz w:val="32"/>
          <w:szCs w:val="32"/>
        </w:rPr>
        <w:t xml:space="preserve">    6.《岱山县2022年污水管网提升改造行动实施方案》</w:t>
      </w:r>
    </w:p>
    <w:p>
      <w:pPr>
        <w:spacing w:line="560" w:lineRule="exact"/>
        <w:rPr>
          <w:rFonts w:ascii="仿宋_GB2312" w:eastAsia="仿宋_GB2312"/>
          <w:sz w:val="32"/>
          <w:szCs w:val="32"/>
        </w:rPr>
      </w:pPr>
      <w:r>
        <w:rPr>
          <w:rFonts w:hint="eastAsia" w:ascii="仿宋_GB2312" w:eastAsia="仿宋_GB2312"/>
          <w:sz w:val="32"/>
          <w:szCs w:val="32"/>
        </w:rPr>
        <w:t xml:space="preserve">    7.《岱山县2022年装修垃圾规范处置行动实施方案》</w:t>
      </w:r>
    </w:p>
    <w:p>
      <w:pPr>
        <w:spacing w:line="560" w:lineRule="exact"/>
        <w:rPr>
          <w:rFonts w:ascii="仿宋_GB2312" w:eastAsia="仿宋_GB2312"/>
          <w:sz w:val="32"/>
          <w:szCs w:val="32"/>
        </w:rPr>
      </w:pPr>
      <w:r>
        <w:rPr>
          <w:rFonts w:hint="eastAsia" w:ascii="仿宋_GB2312" w:eastAsia="仿宋_GB2312"/>
          <w:sz w:val="32"/>
          <w:szCs w:val="32"/>
        </w:rPr>
        <w:t xml:space="preserve">    8.《岱山县2022年“马路拉链”规范行动实施方案》</w:t>
      </w:r>
      <w:r>
        <w:rPr>
          <w:rFonts w:hint="eastAsia" w:ascii="仿宋_GB2312" w:eastAsia="仿宋_GB2312"/>
          <w:sz w:val="32"/>
          <w:szCs w:val="32"/>
        </w:rPr>
        <w:cr/>
      </w:r>
      <w:r>
        <w:rPr>
          <w:rFonts w:hint="eastAsia" w:ascii="仿宋_GB2312" w:eastAsia="仿宋_GB2312"/>
          <w:sz w:val="32"/>
          <w:szCs w:val="32"/>
        </w:rPr>
        <w:t xml:space="preserve">    9.《岱山县2022年广场舞规范整治行动实施方案》</w:t>
      </w:r>
    </w:p>
    <w:p>
      <w:pPr>
        <w:autoSpaceDE w:val="0"/>
        <w:autoSpaceDN w:val="0"/>
        <w:adjustRightInd w:val="0"/>
        <w:ind w:firstLine="640" w:firstLineChars="200"/>
        <w:jc w:val="left"/>
        <w:rPr>
          <w:rFonts w:ascii="仿宋_GB2312" w:eastAsia="仿宋_GB2312" w:cs="仿宋_GB2312"/>
          <w:kern w:val="0"/>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autoSpaceDE w:val="0"/>
        <w:autoSpaceDN w:val="0"/>
        <w:adjustRightInd w:val="0"/>
        <w:spacing w:line="500" w:lineRule="exact"/>
        <w:rPr>
          <w:rFonts w:hint="eastAsia" w:cs="宋体"/>
          <w:b/>
          <w:bCs/>
          <w:sz w:val="32"/>
          <w:szCs w:val="32"/>
        </w:rPr>
      </w:pPr>
      <w:r>
        <w:rPr>
          <w:rFonts w:hint="eastAsia" w:ascii="黑体" w:hAnsi="黑体" w:eastAsia="黑体" w:cs="宋体"/>
          <w:b/>
          <w:bCs/>
          <w:sz w:val="32"/>
          <w:szCs w:val="32"/>
        </w:rPr>
        <w:t>附件1</w:t>
      </w:r>
      <w:r>
        <w:rPr>
          <w:rFonts w:ascii="黑体" w:hAnsi="黑体" w:eastAsia="黑体" w:cs="宋体"/>
          <w:b/>
          <w:bCs/>
          <w:sz w:val="32"/>
          <w:szCs w:val="32"/>
        </w:rPr>
        <w:t xml:space="preserve">: </w:t>
      </w:r>
      <w:r>
        <w:rPr>
          <w:rFonts w:cs="宋体"/>
          <w:b/>
          <w:bCs/>
          <w:sz w:val="32"/>
          <w:szCs w:val="32"/>
        </w:rPr>
        <w:t xml:space="preserve"> </w:t>
      </w:r>
    </w:p>
    <w:p>
      <w:pPr>
        <w:autoSpaceDE w:val="0"/>
        <w:autoSpaceDN w:val="0"/>
        <w:adjustRightInd w:val="0"/>
        <w:spacing w:line="500" w:lineRule="exact"/>
        <w:jc w:val="center"/>
        <w:rPr>
          <w:rFonts w:ascii="方正小标宋简体" w:hAnsi="·½ÕýÐ¡±êËÎ¼òÌå" w:eastAsia="方正小标宋简体" w:cs="方正小标宋简体"/>
          <w:kern w:val="0"/>
          <w:sz w:val="32"/>
          <w:szCs w:val="32"/>
        </w:rPr>
      </w:pPr>
      <w:r>
        <w:rPr>
          <w:rFonts w:hint="eastAsia" w:ascii="方正小标宋简体" w:hAnsi="·½ÕýÐ¡±êËÎ¼òÌå" w:eastAsia="方正小标宋简体" w:cs="方正小标宋简体"/>
          <w:kern w:val="0"/>
          <w:sz w:val="32"/>
          <w:szCs w:val="32"/>
        </w:rPr>
        <w:t>岱山县</w:t>
      </w:r>
      <w:r>
        <w:rPr>
          <w:rFonts w:hint="eastAsia" w:ascii="方正小标宋简体" w:hAnsi="·½ÕýÐ¡±êËÎ¼òÌå" w:eastAsia="方正小标宋简体" w:cs="·½ÕýÐ¡±êËÎ¼òÌå"/>
          <w:kern w:val="0"/>
          <w:sz w:val="32"/>
          <w:szCs w:val="32"/>
        </w:rPr>
        <w:t>2022</w:t>
      </w:r>
      <w:r>
        <w:rPr>
          <w:rFonts w:hint="eastAsia" w:ascii="方正小标宋简体" w:hAnsi="·½ÕýÐ¡±êËÎ¼òÌå" w:eastAsia="方正小标宋简体" w:cs="方正小标宋简体"/>
          <w:kern w:val="0"/>
          <w:sz w:val="32"/>
          <w:szCs w:val="32"/>
        </w:rPr>
        <w:t>年城乡环境综合整治提升行动</w:t>
      </w:r>
      <w:r>
        <w:rPr>
          <w:rFonts w:hint="eastAsia" w:eastAsia="方正小标宋简体" w:cs="宋体"/>
          <w:bCs/>
          <w:sz w:val="32"/>
          <w:szCs w:val="32"/>
        </w:rPr>
        <w:t>任务清单</w:t>
      </w:r>
    </w:p>
    <w:tbl>
      <w:tblPr>
        <w:tblStyle w:val="11"/>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3118"/>
        <w:gridCol w:w="142"/>
        <w:gridCol w:w="1578"/>
        <w:gridCol w:w="1992"/>
        <w:gridCol w:w="1874"/>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8" w:type="dxa"/>
            <w:gridSpan w:val="7"/>
          </w:tcPr>
          <w:p>
            <w:pPr>
              <w:spacing w:line="260" w:lineRule="exact"/>
            </w:pPr>
            <w:r>
              <w:rPr>
                <w:rFonts w:hint="eastAsia"/>
                <w:b/>
                <w:bCs/>
              </w:rPr>
              <w:t>一、“精品示范街（路）”建设行动。</w:t>
            </w:r>
            <w:r>
              <w:rPr>
                <w:rFonts w:hint="eastAsia" w:cs="宋体"/>
              </w:rPr>
              <w:t>继续推进精品示范街（路）建设，重点围绕市区主次干道、商业大街道路路面、建筑立面、店招店牌、市政设施、园林绿化、景观亮化、城市家具、环境秩序等进行改造提升和规范整治，落实常态化、长效化管理机制。达到街（路）平整、美观，沿街（路）立面整洁、协调，绿化景观精致、美丽，城市家具干净、新颖，店招店牌规范、有特色，杆线箱减量整合，路牌标识统一、规范，空调机位合理设置、不外露、各种排水纳入管网，防盗窗内置、停车秩序良好、环境卫生整洁、整体视觉舒畅</w:t>
            </w:r>
            <w:r>
              <w:rPr>
                <w:rFonts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20" w:type="dxa"/>
            <w:gridSpan w:val="2"/>
          </w:tcPr>
          <w:p>
            <w:pPr>
              <w:jc w:val="center"/>
              <w:rPr>
                <w:b/>
                <w:bCs/>
              </w:rPr>
            </w:pPr>
            <w:r>
              <w:rPr>
                <w:rFonts w:hint="eastAsia"/>
                <w:b/>
                <w:bCs/>
              </w:rPr>
              <w:t>具体内容</w:t>
            </w:r>
          </w:p>
        </w:tc>
        <w:tc>
          <w:tcPr>
            <w:tcW w:w="1720" w:type="dxa"/>
            <w:gridSpan w:val="2"/>
          </w:tcPr>
          <w:p>
            <w:pPr>
              <w:jc w:val="center"/>
              <w:rPr>
                <w:b/>
                <w:bCs/>
              </w:rPr>
            </w:pPr>
            <w:r>
              <w:rPr>
                <w:rFonts w:hint="eastAsia"/>
                <w:b/>
                <w:bCs/>
              </w:rPr>
              <w:t>牵头单位</w:t>
            </w:r>
          </w:p>
        </w:tc>
        <w:tc>
          <w:tcPr>
            <w:tcW w:w="1992" w:type="dxa"/>
          </w:tcPr>
          <w:p>
            <w:pPr>
              <w:jc w:val="center"/>
              <w:rPr>
                <w:b/>
                <w:bCs/>
              </w:rPr>
            </w:pPr>
            <w:r>
              <w:rPr>
                <w:rFonts w:hint="eastAsia"/>
                <w:b/>
                <w:bCs/>
              </w:rPr>
              <w:t>责任单位</w:t>
            </w:r>
          </w:p>
        </w:tc>
        <w:tc>
          <w:tcPr>
            <w:tcW w:w="1874" w:type="dxa"/>
          </w:tcPr>
          <w:p>
            <w:pPr>
              <w:jc w:val="center"/>
              <w:rPr>
                <w:b/>
                <w:bCs/>
              </w:rPr>
            </w:pPr>
            <w:r>
              <w:rPr>
                <w:rFonts w:hint="eastAsia"/>
                <w:b/>
                <w:bCs/>
              </w:rPr>
              <w:t>配合单位</w:t>
            </w:r>
          </w:p>
        </w:tc>
        <w:tc>
          <w:tcPr>
            <w:tcW w:w="2462" w:type="dxa"/>
          </w:tcPr>
          <w:p>
            <w:pPr>
              <w:jc w:val="center"/>
              <w:rPr>
                <w:b/>
                <w:bCs/>
              </w:rPr>
            </w:pPr>
            <w:r>
              <w:rPr>
                <w:rFonts w:hint="eastAsia"/>
                <w:b/>
                <w:bCs/>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5920" w:type="dxa"/>
            <w:gridSpan w:val="2"/>
            <w:vAlign w:val="center"/>
          </w:tcPr>
          <w:p>
            <w:pPr>
              <w:spacing w:line="300" w:lineRule="exact"/>
              <w:rPr>
                <w:rFonts w:cs="宋体"/>
              </w:rPr>
            </w:pPr>
            <w:r>
              <w:rPr>
                <w:rFonts w:cs="宋体"/>
              </w:rPr>
              <w:t>1</w:t>
            </w:r>
            <w:r>
              <w:rPr>
                <w:rFonts w:hint="eastAsia" w:cs="宋体"/>
              </w:rPr>
              <w:t>．对衢山大道东侧（飞舟路-星河路）的人行道、景观绿化、城市家具等进行整体改造提升，在5底前完成工程量的100%。</w:t>
            </w:r>
          </w:p>
        </w:tc>
        <w:tc>
          <w:tcPr>
            <w:tcW w:w="1720" w:type="dxa"/>
            <w:gridSpan w:val="2"/>
            <w:vMerge w:val="restart"/>
            <w:vAlign w:val="center"/>
          </w:tcPr>
          <w:p>
            <w:pPr>
              <w:spacing w:line="300" w:lineRule="exact"/>
              <w:jc w:val="center"/>
              <w:rPr>
                <w:rFonts w:cs="宋体"/>
              </w:rPr>
            </w:pPr>
            <w:r>
              <w:rPr>
                <w:rFonts w:hint="eastAsia" w:cs="宋体"/>
              </w:rPr>
              <w:t>县住建局</w:t>
            </w:r>
          </w:p>
        </w:tc>
        <w:tc>
          <w:tcPr>
            <w:tcW w:w="1992" w:type="dxa"/>
            <w:vAlign w:val="center"/>
          </w:tcPr>
          <w:p>
            <w:pPr>
              <w:spacing w:line="300" w:lineRule="exact"/>
              <w:jc w:val="center"/>
              <w:rPr>
                <w:rFonts w:cs="宋体"/>
              </w:rPr>
            </w:pPr>
            <w:r>
              <w:rPr>
                <w:rFonts w:hint="eastAsia" w:cs="宋体"/>
              </w:rPr>
              <w:t>县安澜城投集团</w:t>
            </w:r>
          </w:p>
        </w:tc>
        <w:tc>
          <w:tcPr>
            <w:tcW w:w="1874" w:type="dxa"/>
            <w:vAlign w:val="center"/>
          </w:tcPr>
          <w:p>
            <w:pPr>
              <w:spacing w:line="300" w:lineRule="exact"/>
              <w:jc w:val="center"/>
              <w:rPr>
                <w:rFonts w:cs="宋体"/>
              </w:rPr>
            </w:pPr>
            <w:r>
              <w:rPr>
                <w:rFonts w:hint="eastAsia" w:cs="宋体"/>
              </w:rPr>
              <w:t>高亭镇政府</w:t>
            </w:r>
          </w:p>
        </w:tc>
        <w:tc>
          <w:tcPr>
            <w:tcW w:w="2462" w:type="dxa"/>
            <w:vAlign w:val="center"/>
          </w:tcPr>
          <w:p>
            <w:pPr>
              <w:spacing w:line="300" w:lineRule="exact"/>
              <w:jc w:val="center"/>
              <w:rPr>
                <w:rFonts w:cs="宋体"/>
              </w:rPr>
            </w:pPr>
            <w:r>
              <w:rPr>
                <w:rFonts w:cs="宋体"/>
              </w:rPr>
              <w:t>20</w:t>
            </w:r>
            <w:r>
              <w:rPr>
                <w:rFonts w:hint="eastAsia" w:cs="宋体"/>
              </w:rPr>
              <w:t>22年5月底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5920" w:type="dxa"/>
            <w:gridSpan w:val="2"/>
            <w:vAlign w:val="center"/>
          </w:tcPr>
          <w:p>
            <w:pPr>
              <w:spacing w:line="300" w:lineRule="exact"/>
              <w:rPr>
                <w:rFonts w:cs="宋体"/>
              </w:rPr>
            </w:pPr>
            <w:r>
              <w:rPr>
                <w:rFonts w:hint="eastAsia" w:cs="宋体"/>
              </w:rPr>
              <w:t>2．对衢山大道东侧（飞舟路-星河路）沿街商户和单位</w:t>
            </w:r>
            <w:r>
              <w:rPr>
                <w:rFonts w:cs="宋体"/>
              </w:rPr>
              <w:t>落实常态化、长效化管理机制，要求严格落实“门前四包”工作机制。强化非现场执法，利用“智慧城管”平台，加大对违反市容市貌相关规定的行为的处罚力度。</w:t>
            </w:r>
          </w:p>
        </w:tc>
        <w:tc>
          <w:tcPr>
            <w:tcW w:w="1720" w:type="dxa"/>
            <w:gridSpan w:val="2"/>
            <w:vMerge w:val="continue"/>
            <w:vAlign w:val="center"/>
          </w:tcPr>
          <w:p>
            <w:pPr>
              <w:spacing w:line="300" w:lineRule="exact"/>
              <w:jc w:val="center"/>
              <w:rPr>
                <w:rFonts w:cs="宋体"/>
              </w:rPr>
            </w:pPr>
          </w:p>
        </w:tc>
        <w:tc>
          <w:tcPr>
            <w:tcW w:w="1992" w:type="dxa"/>
            <w:vAlign w:val="center"/>
          </w:tcPr>
          <w:p>
            <w:pPr>
              <w:spacing w:line="300" w:lineRule="exact"/>
              <w:jc w:val="center"/>
              <w:rPr>
                <w:rFonts w:cs="宋体"/>
              </w:rPr>
            </w:pPr>
            <w:r>
              <w:rPr>
                <w:rFonts w:cs="宋体"/>
              </w:rPr>
              <w:t>县综合行政执法局</w:t>
            </w:r>
          </w:p>
        </w:tc>
        <w:tc>
          <w:tcPr>
            <w:tcW w:w="1874" w:type="dxa"/>
            <w:vAlign w:val="center"/>
          </w:tcPr>
          <w:p>
            <w:pPr>
              <w:spacing w:line="300" w:lineRule="exact"/>
              <w:jc w:val="center"/>
              <w:rPr>
                <w:rFonts w:cs="宋体"/>
              </w:rPr>
            </w:pPr>
            <w:r>
              <w:rPr>
                <w:rFonts w:hint="eastAsia" w:cs="宋体"/>
              </w:rPr>
              <w:t>县住建局、县市场监督管理局</w:t>
            </w:r>
          </w:p>
        </w:tc>
        <w:tc>
          <w:tcPr>
            <w:tcW w:w="2462" w:type="dxa"/>
            <w:vAlign w:val="center"/>
          </w:tcPr>
          <w:p>
            <w:pPr>
              <w:spacing w:line="300" w:lineRule="exact"/>
              <w:jc w:val="center"/>
              <w:rPr>
                <w:rFonts w:cs="宋体"/>
              </w:rPr>
            </w:pPr>
            <w:r>
              <w:rPr>
                <w:rFonts w:cs="宋体"/>
              </w:rPr>
              <w:t>20</w:t>
            </w:r>
            <w:r>
              <w:rPr>
                <w:rFonts w:hint="eastAsia" w:cs="宋体"/>
              </w:rPr>
              <w:t>22年</w:t>
            </w:r>
            <w:r>
              <w:rPr>
                <w:rFonts w:cs="宋体"/>
              </w:rPr>
              <w:t>1</w:t>
            </w:r>
            <w:r>
              <w:rPr>
                <w:rFonts w:hint="eastAsia" w:cs="宋体"/>
              </w:rPr>
              <w:t>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8" w:type="dxa"/>
            <w:gridSpan w:val="7"/>
          </w:tcPr>
          <w:p>
            <w:pPr>
              <w:spacing w:line="260" w:lineRule="exact"/>
              <w:rPr>
                <w:rFonts w:cs="宋体"/>
              </w:rPr>
            </w:pPr>
            <w:r>
              <w:rPr>
                <w:rFonts w:hint="eastAsia"/>
                <w:b/>
                <w:bCs/>
              </w:rPr>
              <w:t>二、“席地能坐”保洁区创建行动。</w:t>
            </w:r>
            <w:r>
              <w:rPr>
                <w:rFonts w:hint="eastAsia"/>
              </w:rPr>
              <w:t>对城区公园广场、中心商业区块等公共场所加大保洁力度和基础设施建设，营造席地能坐的公共区域。目标任务：全县新增3个“席地能坐”保洁区，分别为：1、蓬莱会前休闲廊道；2、夜经济带休闲角；3、岱山县长途客运中心。同时，对2021年创建成功的5个“席地能坐”保洁区落实常态管理，做好巩固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62" w:type="dxa"/>
            <w:gridSpan w:val="3"/>
          </w:tcPr>
          <w:p>
            <w:pPr>
              <w:jc w:val="center"/>
              <w:rPr>
                <w:b/>
                <w:bCs/>
              </w:rPr>
            </w:pPr>
            <w:r>
              <w:rPr>
                <w:rFonts w:hint="eastAsia"/>
                <w:b/>
                <w:bCs/>
              </w:rPr>
              <w:t>具体内容</w:t>
            </w:r>
          </w:p>
        </w:tc>
        <w:tc>
          <w:tcPr>
            <w:tcW w:w="1578" w:type="dxa"/>
          </w:tcPr>
          <w:p>
            <w:pPr>
              <w:jc w:val="center"/>
              <w:rPr>
                <w:b/>
                <w:bCs/>
              </w:rPr>
            </w:pPr>
            <w:r>
              <w:rPr>
                <w:rFonts w:hint="eastAsia"/>
                <w:b/>
                <w:bCs/>
              </w:rPr>
              <w:t>牵头单位</w:t>
            </w:r>
          </w:p>
        </w:tc>
        <w:tc>
          <w:tcPr>
            <w:tcW w:w="1992" w:type="dxa"/>
          </w:tcPr>
          <w:p>
            <w:pPr>
              <w:jc w:val="center"/>
              <w:rPr>
                <w:b/>
                <w:bCs/>
              </w:rPr>
            </w:pPr>
            <w:r>
              <w:rPr>
                <w:rFonts w:hint="eastAsia"/>
                <w:b/>
                <w:bCs/>
              </w:rPr>
              <w:t>责任单位</w:t>
            </w:r>
          </w:p>
        </w:tc>
        <w:tc>
          <w:tcPr>
            <w:tcW w:w="1874" w:type="dxa"/>
          </w:tcPr>
          <w:p>
            <w:pPr>
              <w:jc w:val="center"/>
              <w:rPr>
                <w:b/>
                <w:bCs/>
              </w:rPr>
            </w:pPr>
            <w:r>
              <w:rPr>
                <w:rFonts w:hint="eastAsia"/>
                <w:b/>
                <w:bCs/>
              </w:rPr>
              <w:t>配合单位</w:t>
            </w:r>
          </w:p>
        </w:tc>
        <w:tc>
          <w:tcPr>
            <w:tcW w:w="2462" w:type="dxa"/>
          </w:tcPr>
          <w:p>
            <w:pPr>
              <w:jc w:val="center"/>
              <w:rPr>
                <w:b/>
                <w:bCs/>
              </w:rPr>
            </w:pPr>
            <w:r>
              <w:rPr>
                <w:rFonts w:hint="eastAsia"/>
                <w:b/>
                <w:bCs/>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6062" w:type="dxa"/>
            <w:gridSpan w:val="3"/>
            <w:vAlign w:val="center"/>
          </w:tcPr>
          <w:p>
            <w:pPr>
              <w:spacing w:line="300" w:lineRule="exact"/>
              <w:rPr>
                <w:rFonts w:cs="宋体"/>
              </w:rPr>
            </w:pPr>
            <w:r>
              <w:rPr>
                <w:rFonts w:hint="eastAsia" w:cs="宋体"/>
              </w:rPr>
              <w:t>3．加大对</w:t>
            </w:r>
            <w:r>
              <w:rPr>
                <w:rFonts w:hint="eastAsia"/>
              </w:rPr>
              <w:t>蓬莱会前休闲廊道、夜经济带休闲角（位于人民路与和谐路交界口，中心菜场对面）</w:t>
            </w:r>
            <w:r>
              <w:rPr>
                <w:rFonts w:hint="eastAsia" w:cs="宋体"/>
              </w:rPr>
              <w:t>的保洁力度和基础设施建设，营造能够席地能坐的公共区域。</w:t>
            </w:r>
          </w:p>
        </w:tc>
        <w:tc>
          <w:tcPr>
            <w:tcW w:w="1578" w:type="dxa"/>
            <w:vMerge w:val="restart"/>
            <w:vAlign w:val="center"/>
          </w:tcPr>
          <w:p>
            <w:pPr>
              <w:spacing w:line="300" w:lineRule="exact"/>
              <w:jc w:val="center"/>
              <w:rPr>
                <w:rFonts w:cs="宋体"/>
              </w:rPr>
            </w:pPr>
            <w:r>
              <w:rPr>
                <w:rFonts w:cs="宋体"/>
              </w:rPr>
              <w:t>县综合行政执法局</w:t>
            </w:r>
          </w:p>
        </w:tc>
        <w:tc>
          <w:tcPr>
            <w:tcW w:w="1992" w:type="dxa"/>
            <w:vAlign w:val="center"/>
          </w:tcPr>
          <w:p>
            <w:pPr>
              <w:spacing w:line="300" w:lineRule="exact"/>
              <w:jc w:val="center"/>
              <w:rPr>
                <w:rFonts w:cs="宋体"/>
              </w:rPr>
            </w:pPr>
            <w:r>
              <w:rPr>
                <w:rFonts w:cs="宋体"/>
              </w:rPr>
              <w:t>县综合行政执法局</w:t>
            </w:r>
          </w:p>
        </w:tc>
        <w:tc>
          <w:tcPr>
            <w:tcW w:w="1874" w:type="dxa"/>
            <w:vAlign w:val="center"/>
          </w:tcPr>
          <w:p>
            <w:pPr>
              <w:spacing w:line="300" w:lineRule="exact"/>
              <w:jc w:val="center"/>
              <w:rPr>
                <w:rFonts w:cs="宋体"/>
              </w:rPr>
            </w:pPr>
          </w:p>
        </w:tc>
        <w:tc>
          <w:tcPr>
            <w:tcW w:w="2462" w:type="dxa"/>
            <w:vAlign w:val="center"/>
          </w:tcPr>
          <w:p>
            <w:pPr>
              <w:spacing w:line="300" w:lineRule="exact"/>
              <w:jc w:val="center"/>
              <w:rPr>
                <w:rFonts w:cs="宋体"/>
              </w:rPr>
            </w:pPr>
            <w:r>
              <w:rPr>
                <w:rFonts w:cs="宋体"/>
              </w:rPr>
              <w:t>20</w:t>
            </w:r>
            <w:r>
              <w:rPr>
                <w:rFonts w:hint="eastAsia" w:cs="宋体"/>
              </w:rPr>
              <w:t>22年8月底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062" w:type="dxa"/>
            <w:gridSpan w:val="3"/>
            <w:vAlign w:val="center"/>
          </w:tcPr>
          <w:p>
            <w:pPr>
              <w:spacing w:line="300" w:lineRule="exact"/>
              <w:rPr>
                <w:rFonts w:cs="宋体"/>
              </w:rPr>
            </w:pPr>
            <w:r>
              <w:rPr>
                <w:rFonts w:hint="eastAsia" w:cs="宋体"/>
              </w:rPr>
              <w:t>4．加大对</w:t>
            </w:r>
            <w:r>
              <w:rPr>
                <w:rFonts w:hint="eastAsia"/>
              </w:rPr>
              <w:t>岱山县长途客运中心</w:t>
            </w:r>
            <w:r>
              <w:rPr>
                <w:rFonts w:hint="eastAsia" w:cs="宋体"/>
              </w:rPr>
              <w:t>的保洁力度和基础设施建设，营造能够席地能坐的公共区域。</w:t>
            </w:r>
          </w:p>
        </w:tc>
        <w:tc>
          <w:tcPr>
            <w:tcW w:w="1578" w:type="dxa"/>
            <w:vMerge w:val="continue"/>
            <w:vAlign w:val="center"/>
          </w:tcPr>
          <w:p>
            <w:pPr>
              <w:spacing w:line="300" w:lineRule="exact"/>
              <w:jc w:val="center"/>
              <w:rPr>
                <w:rFonts w:cs="宋体"/>
              </w:rPr>
            </w:pPr>
          </w:p>
        </w:tc>
        <w:tc>
          <w:tcPr>
            <w:tcW w:w="1992" w:type="dxa"/>
            <w:vAlign w:val="center"/>
          </w:tcPr>
          <w:p>
            <w:pPr>
              <w:spacing w:line="300" w:lineRule="exact"/>
              <w:jc w:val="center"/>
              <w:rPr>
                <w:rFonts w:cs="宋体"/>
              </w:rPr>
            </w:pPr>
            <w:r>
              <w:rPr>
                <w:rFonts w:hint="eastAsia" w:cs="宋体"/>
              </w:rPr>
              <w:t>县交投集团</w:t>
            </w:r>
          </w:p>
        </w:tc>
        <w:tc>
          <w:tcPr>
            <w:tcW w:w="1874" w:type="dxa"/>
            <w:vAlign w:val="center"/>
          </w:tcPr>
          <w:p>
            <w:pPr>
              <w:spacing w:line="300" w:lineRule="exact"/>
              <w:jc w:val="center"/>
              <w:rPr>
                <w:rFonts w:cs="宋体"/>
              </w:rPr>
            </w:pPr>
          </w:p>
        </w:tc>
        <w:tc>
          <w:tcPr>
            <w:tcW w:w="2462" w:type="dxa"/>
            <w:vAlign w:val="center"/>
          </w:tcPr>
          <w:p>
            <w:pPr>
              <w:spacing w:line="300" w:lineRule="exact"/>
              <w:jc w:val="center"/>
              <w:rPr>
                <w:rFonts w:cs="宋体"/>
              </w:rPr>
            </w:pPr>
            <w:r>
              <w:rPr>
                <w:rFonts w:cs="宋体"/>
              </w:rPr>
              <w:t>20</w:t>
            </w:r>
            <w:r>
              <w:rPr>
                <w:rFonts w:hint="eastAsia" w:cs="宋体"/>
              </w:rPr>
              <w:t>22年9月底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802" w:type="dxa"/>
            <w:vMerge w:val="restart"/>
            <w:vAlign w:val="center"/>
          </w:tcPr>
          <w:p>
            <w:pPr>
              <w:spacing w:line="300" w:lineRule="exact"/>
              <w:rPr>
                <w:rFonts w:cs="宋体"/>
              </w:rPr>
            </w:pPr>
            <w:r>
              <w:rPr>
                <w:rFonts w:hint="eastAsia" w:cs="宋体"/>
              </w:rPr>
              <w:t>5．</w:t>
            </w:r>
            <w:r>
              <w:rPr>
                <w:rFonts w:hint="eastAsia"/>
              </w:rPr>
              <w:t>对2021年创建成功的5个“席地能坐”保洁区落实常态管理，做好巩固提升。</w:t>
            </w:r>
          </w:p>
        </w:tc>
        <w:tc>
          <w:tcPr>
            <w:tcW w:w="3260" w:type="dxa"/>
            <w:gridSpan w:val="2"/>
            <w:vAlign w:val="center"/>
          </w:tcPr>
          <w:p>
            <w:pPr>
              <w:spacing w:line="300" w:lineRule="exact"/>
              <w:rPr>
                <w:rFonts w:cs="宋体"/>
              </w:rPr>
            </w:pPr>
            <w:r>
              <w:rPr>
                <w:rFonts w:hint="eastAsia" w:cs="宋体"/>
              </w:rPr>
              <w:t>新天地广场</w:t>
            </w:r>
          </w:p>
        </w:tc>
        <w:tc>
          <w:tcPr>
            <w:tcW w:w="1578" w:type="dxa"/>
            <w:vMerge w:val="continue"/>
            <w:vAlign w:val="center"/>
          </w:tcPr>
          <w:p>
            <w:pPr>
              <w:spacing w:line="300" w:lineRule="exact"/>
              <w:jc w:val="center"/>
              <w:rPr>
                <w:rFonts w:cs="宋体"/>
              </w:rPr>
            </w:pPr>
          </w:p>
        </w:tc>
        <w:tc>
          <w:tcPr>
            <w:tcW w:w="1992" w:type="dxa"/>
            <w:vAlign w:val="center"/>
          </w:tcPr>
          <w:p>
            <w:pPr>
              <w:spacing w:line="300" w:lineRule="exact"/>
              <w:jc w:val="center"/>
              <w:rPr>
                <w:rFonts w:cs="宋体"/>
              </w:rPr>
            </w:pPr>
            <w:r>
              <w:rPr>
                <w:rFonts w:hint="eastAsia" w:cs="宋体"/>
              </w:rPr>
              <w:t>县经信局</w:t>
            </w:r>
          </w:p>
        </w:tc>
        <w:tc>
          <w:tcPr>
            <w:tcW w:w="1874" w:type="dxa"/>
            <w:vMerge w:val="restart"/>
            <w:vAlign w:val="center"/>
          </w:tcPr>
          <w:p>
            <w:pPr>
              <w:spacing w:line="300" w:lineRule="exact"/>
              <w:jc w:val="center"/>
              <w:rPr>
                <w:rFonts w:cs="宋体"/>
              </w:rPr>
            </w:pPr>
          </w:p>
        </w:tc>
        <w:tc>
          <w:tcPr>
            <w:tcW w:w="2462" w:type="dxa"/>
            <w:vMerge w:val="restart"/>
            <w:vAlign w:val="center"/>
          </w:tcPr>
          <w:p>
            <w:pPr>
              <w:spacing w:line="300" w:lineRule="exact"/>
              <w:jc w:val="center"/>
              <w:rPr>
                <w:rFonts w:cs="宋体"/>
              </w:rPr>
            </w:pPr>
            <w:r>
              <w:rPr>
                <w:rFonts w:cs="宋体"/>
              </w:rPr>
              <w:t>20</w:t>
            </w:r>
            <w:r>
              <w:rPr>
                <w:rFonts w:hint="eastAsia" w:cs="宋体"/>
              </w:rPr>
              <w:t>22年11月底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802" w:type="dxa"/>
            <w:vMerge w:val="continue"/>
            <w:vAlign w:val="center"/>
          </w:tcPr>
          <w:p>
            <w:pPr>
              <w:spacing w:line="300" w:lineRule="exact"/>
              <w:rPr>
                <w:rFonts w:cs="宋体"/>
              </w:rPr>
            </w:pPr>
          </w:p>
        </w:tc>
        <w:tc>
          <w:tcPr>
            <w:tcW w:w="3260" w:type="dxa"/>
            <w:gridSpan w:val="2"/>
            <w:vAlign w:val="center"/>
          </w:tcPr>
          <w:p>
            <w:pPr>
              <w:spacing w:line="300" w:lineRule="exact"/>
              <w:rPr>
                <w:rFonts w:cs="宋体"/>
              </w:rPr>
            </w:pPr>
            <w:r>
              <w:rPr>
                <w:rFonts w:hint="eastAsia" w:cs="宋体"/>
              </w:rPr>
              <w:t>高亭创客先锋联盟中心</w:t>
            </w:r>
          </w:p>
        </w:tc>
        <w:tc>
          <w:tcPr>
            <w:tcW w:w="1578" w:type="dxa"/>
            <w:vMerge w:val="continue"/>
            <w:vAlign w:val="center"/>
          </w:tcPr>
          <w:p>
            <w:pPr>
              <w:spacing w:line="300" w:lineRule="exact"/>
              <w:jc w:val="center"/>
              <w:rPr>
                <w:rFonts w:cs="宋体"/>
              </w:rPr>
            </w:pPr>
          </w:p>
        </w:tc>
        <w:tc>
          <w:tcPr>
            <w:tcW w:w="1992" w:type="dxa"/>
            <w:vAlign w:val="center"/>
          </w:tcPr>
          <w:p>
            <w:pPr>
              <w:spacing w:line="300" w:lineRule="exact"/>
              <w:jc w:val="center"/>
              <w:rPr>
                <w:rFonts w:cs="宋体"/>
              </w:rPr>
            </w:pPr>
            <w:r>
              <w:rPr>
                <w:rFonts w:hint="eastAsia" w:cs="宋体"/>
              </w:rPr>
              <w:t>高亭镇</w:t>
            </w:r>
          </w:p>
        </w:tc>
        <w:tc>
          <w:tcPr>
            <w:tcW w:w="1874" w:type="dxa"/>
            <w:vMerge w:val="continue"/>
            <w:vAlign w:val="center"/>
          </w:tcPr>
          <w:p>
            <w:pPr>
              <w:spacing w:line="300" w:lineRule="exact"/>
              <w:jc w:val="center"/>
              <w:rPr>
                <w:rFonts w:cs="宋体"/>
              </w:rPr>
            </w:pPr>
          </w:p>
        </w:tc>
        <w:tc>
          <w:tcPr>
            <w:tcW w:w="2462" w:type="dxa"/>
            <w:vMerge w:val="continue"/>
            <w:vAlign w:val="center"/>
          </w:tcPr>
          <w:p>
            <w:pPr>
              <w:spacing w:line="30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802" w:type="dxa"/>
            <w:vMerge w:val="continue"/>
            <w:vAlign w:val="center"/>
          </w:tcPr>
          <w:p>
            <w:pPr>
              <w:spacing w:line="300" w:lineRule="exact"/>
              <w:rPr>
                <w:rFonts w:cs="宋体"/>
              </w:rPr>
            </w:pPr>
          </w:p>
        </w:tc>
        <w:tc>
          <w:tcPr>
            <w:tcW w:w="3260" w:type="dxa"/>
            <w:gridSpan w:val="2"/>
            <w:vAlign w:val="center"/>
          </w:tcPr>
          <w:p>
            <w:pPr>
              <w:spacing w:line="300" w:lineRule="exact"/>
              <w:rPr>
                <w:rFonts w:cs="宋体"/>
                <w:sz w:val="18"/>
                <w:szCs w:val="18"/>
              </w:rPr>
            </w:pPr>
            <w:r>
              <w:rPr>
                <w:rFonts w:hint="eastAsia" w:cs="宋体"/>
                <w:sz w:val="18"/>
                <w:szCs w:val="18"/>
              </w:rPr>
              <w:t>新区观海平台、童梦园、行政中心广场</w:t>
            </w:r>
          </w:p>
        </w:tc>
        <w:tc>
          <w:tcPr>
            <w:tcW w:w="1578" w:type="dxa"/>
            <w:vMerge w:val="continue"/>
            <w:vAlign w:val="center"/>
          </w:tcPr>
          <w:p>
            <w:pPr>
              <w:spacing w:line="300" w:lineRule="exact"/>
              <w:jc w:val="center"/>
              <w:rPr>
                <w:rFonts w:cs="宋体"/>
              </w:rPr>
            </w:pPr>
          </w:p>
        </w:tc>
        <w:tc>
          <w:tcPr>
            <w:tcW w:w="1992" w:type="dxa"/>
            <w:vAlign w:val="center"/>
          </w:tcPr>
          <w:p>
            <w:pPr>
              <w:spacing w:line="300" w:lineRule="exact"/>
              <w:jc w:val="center"/>
              <w:rPr>
                <w:rFonts w:cs="宋体"/>
              </w:rPr>
            </w:pPr>
            <w:r>
              <w:rPr>
                <w:rFonts w:cs="宋体"/>
              </w:rPr>
              <w:t>县综合行政执法局</w:t>
            </w:r>
          </w:p>
        </w:tc>
        <w:tc>
          <w:tcPr>
            <w:tcW w:w="1874" w:type="dxa"/>
            <w:vMerge w:val="continue"/>
            <w:vAlign w:val="center"/>
          </w:tcPr>
          <w:p>
            <w:pPr>
              <w:spacing w:line="300" w:lineRule="exact"/>
              <w:jc w:val="center"/>
              <w:rPr>
                <w:rFonts w:cs="宋体"/>
              </w:rPr>
            </w:pPr>
          </w:p>
        </w:tc>
        <w:tc>
          <w:tcPr>
            <w:tcW w:w="2462" w:type="dxa"/>
            <w:vMerge w:val="continue"/>
            <w:vAlign w:val="center"/>
          </w:tcPr>
          <w:p>
            <w:pPr>
              <w:spacing w:line="300" w:lineRule="exact"/>
              <w:jc w:val="center"/>
              <w:rPr>
                <w:rFonts w:cs="宋体"/>
              </w:rPr>
            </w:pPr>
          </w:p>
        </w:tc>
      </w:tr>
    </w:tbl>
    <w:p>
      <w:pPr>
        <w:autoSpaceDE w:val="0"/>
        <w:autoSpaceDN w:val="0"/>
        <w:adjustRightInd w:val="0"/>
        <w:jc w:val="left"/>
        <w:rPr>
          <w:rFonts w:ascii="仿宋_GB2312" w:eastAsia="仿宋_GB2312" w:cs="仿宋_GB2312"/>
          <w:kern w:val="0"/>
          <w:sz w:val="2"/>
          <w:szCs w:val="32"/>
        </w:rPr>
      </w:pPr>
    </w:p>
    <w:tbl>
      <w:tblPr>
        <w:tblStyle w:val="11"/>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9"/>
        <w:gridCol w:w="1911"/>
        <w:gridCol w:w="1992"/>
        <w:gridCol w:w="1874"/>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8" w:type="dxa"/>
            <w:gridSpan w:val="5"/>
          </w:tcPr>
          <w:p>
            <w:pPr>
              <w:spacing w:line="260" w:lineRule="exact"/>
            </w:pPr>
            <w:r>
              <w:rPr>
                <w:rFonts w:hint="eastAsia"/>
                <w:b/>
                <w:bCs/>
              </w:rPr>
              <w:t>三、环境卫生责任区制度（门前四包）示范街创建行动。</w:t>
            </w:r>
            <w:r>
              <w:rPr>
                <w:rFonts w:hint="eastAsia" w:cs="宋体"/>
              </w:rPr>
              <w:t>根据《浙江省城市市容和环境卫生管理条例》规定，</w:t>
            </w:r>
            <w:r>
              <w:rPr>
                <w:rFonts w:hint="eastAsia"/>
              </w:rPr>
              <w:t>继续推进环境卫生责任区制度（即：门前四包）落实，采取示范引领、以点带面的方法，建设环境卫生责任区制度示范街，通过严查严管、检查考评、“红黑榜”上墙公布等措施，督促经营单位及相关责任主体自觉履行环境卫生责任区责任、义务，推进精细化管理，建立完善常态化长效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9" w:type="dxa"/>
          </w:tcPr>
          <w:p>
            <w:pPr>
              <w:jc w:val="center"/>
              <w:rPr>
                <w:b/>
                <w:bCs/>
              </w:rPr>
            </w:pPr>
            <w:r>
              <w:rPr>
                <w:rFonts w:hint="eastAsia"/>
                <w:b/>
                <w:bCs/>
              </w:rPr>
              <w:t>具体内容</w:t>
            </w:r>
          </w:p>
        </w:tc>
        <w:tc>
          <w:tcPr>
            <w:tcW w:w="1911" w:type="dxa"/>
          </w:tcPr>
          <w:p>
            <w:pPr>
              <w:jc w:val="center"/>
              <w:rPr>
                <w:b/>
                <w:bCs/>
              </w:rPr>
            </w:pPr>
            <w:r>
              <w:rPr>
                <w:rFonts w:hint="eastAsia"/>
                <w:b/>
                <w:bCs/>
              </w:rPr>
              <w:t>牵头单位</w:t>
            </w:r>
          </w:p>
        </w:tc>
        <w:tc>
          <w:tcPr>
            <w:tcW w:w="1992" w:type="dxa"/>
          </w:tcPr>
          <w:p>
            <w:pPr>
              <w:jc w:val="center"/>
              <w:rPr>
                <w:b/>
                <w:bCs/>
              </w:rPr>
            </w:pPr>
            <w:r>
              <w:rPr>
                <w:rFonts w:hint="eastAsia"/>
                <w:b/>
                <w:bCs/>
              </w:rPr>
              <w:t>责任单位</w:t>
            </w:r>
          </w:p>
        </w:tc>
        <w:tc>
          <w:tcPr>
            <w:tcW w:w="1874" w:type="dxa"/>
          </w:tcPr>
          <w:p>
            <w:pPr>
              <w:jc w:val="center"/>
              <w:rPr>
                <w:b/>
                <w:bCs/>
              </w:rPr>
            </w:pPr>
            <w:r>
              <w:rPr>
                <w:rFonts w:hint="eastAsia"/>
                <w:b/>
                <w:bCs/>
              </w:rPr>
              <w:t>配合单位</w:t>
            </w:r>
          </w:p>
        </w:tc>
        <w:tc>
          <w:tcPr>
            <w:tcW w:w="2462" w:type="dxa"/>
          </w:tcPr>
          <w:p>
            <w:pPr>
              <w:jc w:val="center"/>
              <w:rPr>
                <w:b/>
                <w:bCs/>
              </w:rPr>
            </w:pPr>
            <w:r>
              <w:rPr>
                <w:rFonts w:hint="eastAsia"/>
                <w:b/>
                <w:bCs/>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5729" w:type="dxa"/>
            <w:vAlign w:val="center"/>
          </w:tcPr>
          <w:p>
            <w:pPr>
              <w:spacing w:line="340" w:lineRule="exact"/>
              <w:rPr>
                <w:rFonts w:cs="宋体"/>
              </w:rPr>
            </w:pPr>
            <w:r>
              <w:rPr>
                <w:rFonts w:hint="eastAsia" w:cs="宋体"/>
              </w:rPr>
              <w:t>6．提高对</w:t>
            </w:r>
            <w:r>
              <w:rPr>
                <w:rFonts w:cs="宋体"/>
              </w:rPr>
              <w:t>钓海路（衢山大道-兰秀大道）</w:t>
            </w:r>
            <w:r>
              <w:rPr>
                <w:rFonts w:hint="eastAsia" w:cs="宋体"/>
              </w:rPr>
              <w:t>的管理标准，督促经营单位及相关责任主体自觉履行环境卫生责任区责任，通过加大执法和管理力度，提升沿街的卫生、绿化、秩序。</w:t>
            </w:r>
          </w:p>
        </w:tc>
        <w:tc>
          <w:tcPr>
            <w:tcW w:w="1911" w:type="dxa"/>
            <w:vMerge w:val="restart"/>
            <w:vAlign w:val="center"/>
          </w:tcPr>
          <w:p>
            <w:pPr>
              <w:spacing w:line="340" w:lineRule="exact"/>
              <w:jc w:val="center"/>
              <w:rPr>
                <w:rFonts w:cs="宋体"/>
              </w:rPr>
            </w:pPr>
            <w:r>
              <w:rPr>
                <w:rFonts w:cs="宋体"/>
              </w:rPr>
              <w:t>县综合行政执法局</w:t>
            </w:r>
          </w:p>
        </w:tc>
        <w:tc>
          <w:tcPr>
            <w:tcW w:w="1992" w:type="dxa"/>
            <w:vMerge w:val="restart"/>
            <w:vAlign w:val="center"/>
          </w:tcPr>
          <w:p>
            <w:pPr>
              <w:spacing w:line="340" w:lineRule="exact"/>
              <w:jc w:val="center"/>
              <w:rPr>
                <w:rFonts w:cs="宋体"/>
              </w:rPr>
            </w:pPr>
            <w:r>
              <w:rPr>
                <w:rFonts w:cs="宋体"/>
              </w:rPr>
              <w:t>县综合行政执法局</w:t>
            </w:r>
          </w:p>
        </w:tc>
        <w:tc>
          <w:tcPr>
            <w:tcW w:w="1874" w:type="dxa"/>
            <w:vAlign w:val="center"/>
          </w:tcPr>
          <w:p>
            <w:pPr>
              <w:spacing w:line="340" w:lineRule="exact"/>
              <w:jc w:val="left"/>
              <w:rPr>
                <w:rFonts w:cs="宋体"/>
              </w:rPr>
            </w:pPr>
            <w:r>
              <w:rPr>
                <w:rFonts w:hint="eastAsia" w:cs="宋体"/>
              </w:rPr>
              <w:t>县公安局、县市场监督管理局、高亭镇政府</w:t>
            </w:r>
          </w:p>
        </w:tc>
        <w:tc>
          <w:tcPr>
            <w:tcW w:w="2462" w:type="dxa"/>
            <w:vMerge w:val="restart"/>
            <w:vAlign w:val="center"/>
          </w:tcPr>
          <w:p>
            <w:pPr>
              <w:spacing w:line="340" w:lineRule="exact"/>
              <w:jc w:val="center"/>
              <w:rPr>
                <w:rFonts w:cs="宋体"/>
              </w:rPr>
            </w:pPr>
            <w:r>
              <w:rPr>
                <w:rFonts w:cs="宋体"/>
              </w:rPr>
              <w:t>20</w:t>
            </w:r>
            <w:r>
              <w:rPr>
                <w:rFonts w:hint="eastAsia" w:cs="宋体"/>
              </w:rPr>
              <w:t>22年</w:t>
            </w:r>
            <w:r>
              <w:rPr>
                <w:rFonts w:cs="宋体"/>
              </w:rPr>
              <w:t>1</w:t>
            </w:r>
            <w:r>
              <w:rPr>
                <w:rFonts w:hint="eastAsia" w:cs="宋体"/>
              </w:rPr>
              <w:t>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5729" w:type="dxa"/>
            <w:vAlign w:val="center"/>
          </w:tcPr>
          <w:p>
            <w:pPr>
              <w:spacing w:line="340" w:lineRule="exact"/>
              <w:rPr>
                <w:rFonts w:cs="宋体"/>
              </w:rPr>
            </w:pPr>
            <w:r>
              <w:rPr>
                <w:rFonts w:hint="eastAsia" w:cs="宋体"/>
              </w:rPr>
              <w:t>7．联合各相关部门，定期对</w:t>
            </w:r>
            <w:r>
              <w:rPr>
                <w:rFonts w:cs="宋体"/>
              </w:rPr>
              <w:t>钓海路（衢山大道-兰秀大道）</w:t>
            </w:r>
            <w:r>
              <w:rPr>
                <w:rFonts w:hint="eastAsia" w:cs="宋体"/>
              </w:rPr>
              <w:t>的各经营单位和责任主体，开展星级评定。</w:t>
            </w:r>
          </w:p>
        </w:tc>
        <w:tc>
          <w:tcPr>
            <w:tcW w:w="1911" w:type="dxa"/>
            <w:vMerge w:val="continue"/>
            <w:vAlign w:val="center"/>
          </w:tcPr>
          <w:p>
            <w:pPr>
              <w:spacing w:line="340" w:lineRule="exact"/>
              <w:jc w:val="center"/>
              <w:rPr>
                <w:rFonts w:cs="宋体"/>
              </w:rPr>
            </w:pPr>
          </w:p>
        </w:tc>
        <w:tc>
          <w:tcPr>
            <w:tcW w:w="1992" w:type="dxa"/>
            <w:vMerge w:val="continue"/>
            <w:vAlign w:val="center"/>
          </w:tcPr>
          <w:p>
            <w:pPr>
              <w:spacing w:line="340" w:lineRule="exact"/>
              <w:jc w:val="center"/>
              <w:rPr>
                <w:rFonts w:cs="宋体"/>
              </w:rPr>
            </w:pPr>
          </w:p>
        </w:tc>
        <w:tc>
          <w:tcPr>
            <w:tcW w:w="1874" w:type="dxa"/>
            <w:vAlign w:val="center"/>
          </w:tcPr>
          <w:p>
            <w:pPr>
              <w:spacing w:line="340" w:lineRule="exact"/>
              <w:jc w:val="left"/>
              <w:rPr>
                <w:rFonts w:cs="宋体"/>
              </w:rPr>
            </w:pPr>
            <w:r>
              <w:rPr>
                <w:rFonts w:hint="eastAsia" w:cs="宋体"/>
              </w:rPr>
              <w:t>县市场监督管理局、团县委、高亭镇政府</w:t>
            </w:r>
          </w:p>
        </w:tc>
        <w:tc>
          <w:tcPr>
            <w:tcW w:w="2462" w:type="dxa"/>
            <w:vMerge w:val="continue"/>
            <w:vAlign w:val="center"/>
          </w:tcPr>
          <w:p>
            <w:pPr>
              <w:spacing w:line="34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5729" w:type="dxa"/>
            <w:vAlign w:val="center"/>
          </w:tcPr>
          <w:p>
            <w:pPr>
              <w:spacing w:line="340" w:lineRule="exact"/>
              <w:rPr>
                <w:rFonts w:cs="宋体"/>
              </w:rPr>
            </w:pPr>
            <w:r>
              <w:rPr>
                <w:rFonts w:hint="eastAsia" w:cs="宋体"/>
              </w:rPr>
              <w:t>8．督促餐饮行业</w:t>
            </w:r>
            <w:r>
              <w:rPr>
                <w:rFonts w:cs="宋体"/>
              </w:rPr>
              <w:t>等</w:t>
            </w:r>
            <w:r>
              <w:rPr>
                <w:rFonts w:hint="eastAsia" w:cs="宋体"/>
              </w:rPr>
              <w:t>环境</w:t>
            </w:r>
            <w:r>
              <w:rPr>
                <w:rFonts w:cs="宋体"/>
              </w:rPr>
              <w:t>卫生责任区责任人</w:t>
            </w:r>
            <w:r>
              <w:rPr>
                <w:rFonts w:hint="eastAsia" w:cs="宋体"/>
              </w:rPr>
              <w:t>落实主体责任，将执法部门通报的违法信息和其他未履行</w:t>
            </w:r>
            <w:r>
              <w:rPr>
                <w:rFonts w:cs="宋体"/>
              </w:rPr>
              <w:t>环境卫生责任区</w:t>
            </w:r>
            <w:r>
              <w:rPr>
                <w:rFonts w:hint="eastAsia" w:cs="宋体"/>
              </w:rPr>
              <w:t>责任的</w:t>
            </w:r>
            <w:r>
              <w:rPr>
                <w:rFonts w:cs="宋体"/>
              </w:rPr>
              <w:t>行为</w:t>
            </w:r>
            <w:r>
              <w:rPr>
                <w:rFonts w:hint="eastAsia" w:cs="宋体"/>
              </w:rPr>
              <w:t>，及时告知相关平台</w:t>
            </w:r>
            <w:r>
              <w:rPr>
                <w:rFonts w:cs="宋体"/>
              </w:rPr>
              <w:t>企业</w:t>
            </w:r>
            <w:r>
              <w:rPr>
                <w:rFonts w:hint="eastAsia" w:cs="宋体"/>
              </w:rPr>
              <w:t>，督促其会同责任人按相关制度，采取问责、经济处罚、停工等措施对具体责任人员进行处理，促进制度</w:t>
            </w:r>
            <w:r>
              <w:rPr>
                <w:rFonts w:cs="宋体"/>
              </w:rPr>
              <w:t>履行</w:t>
            </w:r>
            <w:r>
              <w:rPr>
                <w:rFonts w:hint="eastAsia" w:cs="宋体"/>
              </w:rPr>
              <w:t>。</w:t>
            </w:r>
          </w:p>
        </w:tc>
        <w:tc>
          <w:tcPr>
            <w:tcW w:w="1911" w:type="dxa"/>
            <w:vMerge w:val="continue"/>
            <w:vAlign w:val="center"/>
          </w:tcPr>
          <w:p>
            <w:pPr>
              <w:spacing w:line="340" w:lineRule="exact"/>
              <w:jc w:val="center"/>
              <w:rPr>
                <w:rFonts w:cs="宋体"/>
              </w:rPr>
            </w:pPr>
          </w:p>
        </w:tc>
        <w:tc>
          <w:tcPr>
            <w:tcW w:w="1992" w:type="dxa"/>
            <w:vAlign w:val="center"/>
          </w:tcPr>
          <w:p>
            <w:pPr>
              <w:spacing w:line="340" w:lineRule="exact"/>
              <w:jc w:val="center"/>
              <w:rPr>
                <w:rFonts w:cs="宋体"/>
              </w:rPr>
            </w:pPr>
            <w:r>
              <w:rPr>
                <w:rFonts w:hint="eastAsia" w:cs="宋体"/>
              </w:rPr>
              <w:t>县市场监督管理局</w:t>
            </w:r>
          </w:p>
        </w:tc>
        <w:tc>
          <w:tcPr>
            <w:tcW w:w="1874" w:type="dxa"/>
            <w:vAlign w:val="center"/>
          </w:tcPr>
          <w:p>
            <w:pPr>
              <w:spacing w:line="340" w:lineRule="exact"/>
              <w:jc w:val="left"/>
              <w:rPr>
                <w:rFonts w:cs="宋体"/>
              </w:rPr>
            </w:pPr>
          </w:p>
        </w:tc>
        <w:tc>
          <w:tcPr>
            <w:tcW w:w="2462" w:type="dxa"/>
            <w:vAlign w:val="center"/>
          </w:tcPr>
          <w:p>
            <w:pPr>
              <w:spacing w:line="340" w:lineRule="exact"/>
              <w:jc w:val="center"/>
              <w:rPr>
                <w:rFonts w:cs="宋体"/>
              </w:rPr>
            </w:pPr>
            <w:r>
              <w:rPr>
                <w:rFonts w:cs="宋体"/>
              </w:rPr>
              <w:t>20</w:t>
            </w:r>
            <w:r>
              <w:rPr>
                <w:rFonts w:hint="eastAsia" w:cs="宋体"/>
              </w:rPr>
              <w:t>22年</w:t>
            </w:r>
            <w:r>
              <w:rPr>
                <w:rFonts w:cs="宋体"/>
              </w:rPr>
              <w:t>1</w:t>
            </w:r>
            <w:r>
              <w:rPr>
                <w:rFonts w:hint="eastAsia" w:cs="宋体"/>
              </w:rPr>
              <w:t>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8" w:type="dxa"/>
            <w:gridSpan w:val="5"/>
          </w:tcPr>
          <w:p>
            <w:pPr>
              <w:spacing w:line="260" w:lineRule="exact"/>
            </w:pPr>
            <w:r>
              <w:rPr>
                <w:rFonts w:hint="eastAsia"/>
                <w:b/>
                <w:bCs/>
              </w:rPr>
              <w:t>四、背街小巷改造提升行动。</w:t>
            </w:r>
            <w:r>
              <w:rPr>
                <w:rFonts w:hint="eastAsia" w:cs="宋体"/>
              </w:rPr>
              <w:t>继续推进城区背街小巷整治，重点围绕路面不平、路灯不亮、污水乱排、管线乱拉及跨门经营、占道堆物、流动设摊、乱扔垃圾、乱停车等问题，落实常态化管理措施，达到道路硬化平整，雨污管道畅通，建筑立面、市政设施、绿化完好无破损，无非法搭建，空中（立面）管线整齐有序，无乱拉乱牵，停车泊位设置合理，停放整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9" w:type="dxa"/>
          </w:tcPr>
          <w:p>
            <w:pPr>
              <w:jc w:val="center"/>
              <w:rPr>
                <w:b/>
                <w:bCs/>
              </w:rPr>
            </w:pPr>
            <w:r>
              <w:rPr>
                <w:rFonts w:hint="eastAsia"/>
                <w:b/>
                <w:bCs/>
              </w:rPr>
              <w:t>具体内容</w:t>
            </w:r>
          </w:p>
        </w:tc>
        <w:tc>
          <w:tcPr>
            <w:tcW w:w="1911" w:type="dxa"/>
          </w:tcPr>
          <w:p>
            <w:pPr>
              <w:jc w:val="center"/>
              <w:rPr>
                <w:b/>
                <w:bCs/>
              </w:rPr>
            </w:pPr>
            <w:r>
              <w:rPr>
                <w:rFonts w:hint="eastAsia"/>
                <w:b/>
                <w:bCs/>
              </w:rPr>
              <w:t>牵头单位</w:t>
            </w:r>
          </w:p>
        </w:tc>
        <w:tc>
          <w:tcPr>
            <w:tcW w:w="1992" w:type="dxa"/>
          </w:tcPr>
          <w:p>
            <w:pPr>
              <w:jc w:val="center"/>
              <w:rPr>
                <w:b/>
                <w:bCs/>
              </w:rPr>
            </w:pPr>
            <w:r>
              <w:rPr>
                <w:rFonts w:hint="eastAsia"/>
                <w:b/>
                <w:bCs/>
              </w:rPr>
              <w:t>责任单位</w:t>
            </w:r>
          </w:p>
        </w:tc>
        <w:tc>
          <w:tcPr>
            <w:tcW w:w="1874" w:type="dxa"/>
          </w:tcPr>
          <w:p>
            <w:pPr>
              <w:jc w:val="center"/>
              <w:rPr>
                <w:b/>
                <w:bCs/>
              </w:rPr>
            </w:pPr>
            <w:r>
              <w:rPr>
                <w:rFonts w:hint="eastAsia"/>
                <w:b/>
                <w:bCs/>
              </w:rPr>
              <w:t>配合单位</w:t>
            </w:r>
          </w:p>
        </w:tc>
        <w:tc>
          <w:tcPr>
            <w:tcW w:w="2462" w:type="dxa"/>
          </w:tcPr>
          <w:p>
            <w:pPr>
              <w:jc w:val="center"/>
              <w:rPr>
                <w:b/>
                <w:bCs/>
              </w:rPr>
            </w:pPr>
            <w:r>
              <w:rPr>
                <w:rFonts w:hint="eastAsia"/>
                <w:b/>
                <w:bCs/>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729" w:type="dxa"/>
            <w:vAlign w:val="center"/>
          </w:tcPr>
          <w:p>
            <w:pPr>
              <w:spacing w:line="320" w:lineRule="exact"/>
              <w:rPr>
                <w:rFonts w:cs="宋体"/>
              </w:rPr>
            </w:pPr>
            <w:r>
              <w:rPr>
                <w:rFonts w:hint="eastAsia" w:cs="宋体"/>
              </w:rPr>
              <w:t>9．对</w:t>
            </w:r>
            <w:r>
              <w:rPr>
                <w:rFonts w:cs="宋体"/>
              </w:rPr>
              <w:t>康嘉路（长河路-环城北路）</w:t>
            </w:r>
            <w:r>
              <w:rPr>
                <w:rFonts w:hint="eastAsia" w:cs="宋体"/>
              </w:rPr>
              <w:t>的人行道、景观绿化等进行整体改造提升。</w:t>
            </w:r>
          </w:p>
        </w:tc>
        <w:tc>
          <w:tcPr>
            <w:tcW w:w="1911" w:type="dxa"/>
            <w:vMerge w:val="restart"/>
            <w:vAlign w:val="center"/>
          </w:tcPr>
          <w:p>
            <w:pPr>
              <w:spacing w:line="320" w:lineRule="exact"/>
              <w:jc w:val="center"/>
              <w:rPr>
                <w:rFonts w:cs="宋体"/>
              </w:rPr>
            </w:pPr>
            <w:r>
              <w:rPr>
                <w:rFonts w:hint="eastAsia" w:cs="宋体"/>
              </w:rPr>
              <w:t>县住建局</w:t>
            </w:r>
          </w:p>
        </w:tc>
        <w:tc>
          <w:tcPr>
            <w:tcW w:w="1992" w:type="dxa"/>
            <w:vAlign w:val="center"/>
          </w:tcPr>
          <w:p>
            <w:pPr>
              <w:spacing w:line="320" w:lineRule="exact"/>
              <w:jc w:val="center"/>
              <w:rPr>
                <w:rFonts w:cs="宋体"/>
              </w:rPr>
            </w:pPr>
            <w:r>
              <w:rPr>
                <w:rFonts w:hint="eastAsia" w:cs="宋体"/>
              </w:rPr>
              <w:t>县安澜城投集团</w:t>
            </w:r>
          </w:p>
        </w:tc>
        <w:tc>
          <w:tcPr>
            <w:tcW w:w="1874" w:type="dxa"/>
            <w:vAlign w:val="center"/>
          </w:tcPr>
          <w:p>
            <w:pPr>
              <w:spacing w:line="320" w:lineRule="exact"/>
              <w:jc w:val="center"/>
              <w:rPr>
                <w:rFonts w:cs="宋体"/>
              </w:rPr>
            </w:pPr>
            <w:r>
              <w:rPr>
                <w:rFonts w:hint="eastAsia" w:cs="宋体"/>
              </w:rPr>
              <w:t>各相关管线单位</w:t>
            </w:r>
          </w:p>
        </w:tc>
        <w:tc>
          <w:tcPr>
            <w:tcW w:w="2462" w:type="dxa"/>
            <w:vAlign w:val="center"/>
          </w:tcPr>
          <w:p>
            <w:pPr>
              <w:spacing w:line="320" w:lineRule="exact"/>
              <w:jc w:val="center"/>
              <w:rPr>
                <w:rFonts w:cs="宋体"/>
              </w:rPr>
            </w:pPr>
            <w:r>
              <w:rPr>
                <w:rFonts w:cs="宋体"/>
              </w:rPr>
              <w:t>20</w:t>
            </w:r>
            <w:r>
              <w:rPr>
                <w:rFonts w:hint="eastAsia" w:cs="宋体"/>
              </w:rPr>
              <w:t>22年5月底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5729" w:type="dxa"/>
            <w:vAlign w:val="center"/>
          </w:tcPr>
          <w:p>
            <w:pPr>
              <w:spacing w:line="320" w:lineRule="exact"/>
              <w:rPr>
                <w:rFonts w:cs="宋体"/>
              </w:rPr>
            </w:pPr>
            <w:r>
              <w:rPr>
                <w:rFonts w:hint="eastAsia" w:cs="宋体"/>
              </w:rPr>
              <w:t>10．对</w:t>
            </w:r>
            <w:r>
              <w:rPr>
                <w:rFonts w:cs="宋体"/>
              </w:rPr>
              <w:t>康嘉路（长河路-环城北路）</w:t>
            </w:r>
            <w:r>
              <w:rPr>
                <w:rFonts w:hint="eastAsia" w:cs="宋体"/>
              </w:rPr>
              <w:t>沿街商户和单位</w:t>
            </w:r>
            <w:r>
              <w:rPr>
                <w:rFonts w:cs="宋体"/>
              </w:rPr>
              <w:t>落实常态化、长效化管理机制，要求严格落实“门前四包”工作机制。强化非现场执法，利用“智慧城管”平台，加大对违反市容市貌相关规定的行为的处罚力度。</w:t>
            </w:r>
          </w:p>
        </w:tc>
        <w:tc>
          <w:tcPr>
            <w:tcW w:w="1911" w:type="dxa"/>
            <w:vMerge w:val="continue"/>
            <w:vAlign w:val="center"/>
          </w:tcPr>
          <w:p>
            <w:pPr>
              <w:spacing w:line="320" w:lineRule="exact"/>
              <w:jc w:val="center"/>
              <w:rPr>
                <w:rFonts w:cs="宋体"/>
              </w:rPr>
            </w:pPr>
          </w:p>
        </w:tc>
        <w:tc>
          <w:tcPr>
            <w:tcW w:w="1992" w:type="dxa"/>
            <w:vAlign w:val="center"/>
          </w:tcPr>
          <w:p>
            <w:pPr>
              <w:spacing w:line="320" w:lineRule="exact"/>
              <w:jc w:val="center"/>
              <w:rPr>
                <w:rFonts w:cs="宋体"/>
              </w:rPr>
            </w:pPr>
            <w:r>
              <w:rPr>
                <w:rFonts w:cs="宋体"/>
              </w:rPr>
              <w:t>县综合行政执法局、县公安局</w:t>
            </w:r>
          </w:p>
        </w:tc>
        <w:tc>
          <w:tcPr>
            <w:tcW w:w="1874" w:type="dxa"/>
            <w:vAlign w:val="center"/>
          </w:tcPr>
          <w:p>
            <w:pPr>
              <w:spacing w:line="320" w:lineRule="exact"/>
              <w:jc w:val="center"/>
              <w:rPr>
                <w:rFonts w:cs="宋体"/>
              </w:rPr>
            </w:pPr>
            <w:r>
              <w:rPr>
                <w:rFonts w:hint="eastAsia" w:cs="宋体"/>
              </w:rPr>
              <w:t>县市场监督管理局</w:t>
            </w:r>
          </w:p>
        </w:tc>
        <w:tc>
          <w:tcPr>
            <w:tcW w:w="2462" w:type="dxa"/>
            <w:vAlign w:val="center"/>
          </w:tcPr>
          <w:p>
            <w:pPr>
              <w:spacing w:line="320" w:lineRule="exact"/>
              <w:jc w:val="center"/>
              <w:rPr>
                <w:rFonts w:cs="宋体"/>
              </w:rPr>
            </w:pPr>
            <w:r>
              <w:rPr>
                <w:rFonts w:cs="宋体"/>
              </w:rPr>
              <w:t>20</w:t>
            </w:r>
            <w:r>
              <w:rPr>
                <w:rFonts w:hint="eastAsia" w:cs="宋体"/>
              </w:rPr>
              <w:t>22年</w:t>
            </w:r>
            <w:r>
              <w:rPr>
                <w:rFonts w:cs="宋体"/>
              </w:rPr>
              <w:t>1</w:t>
            </w:r>
            <w:r>
              <w:rPr>
                <w:rFonts w:hint="eastAsia" w:cs="宋体"/>
              </w:rPr>
              <w:t>1月底</w:t>
            </w:r>
          </w:p>
        </w:tc>
      </w:tr>
    </w:tbl>
    <w:p>
      <w:pPr>
        <w:autoSpaceDE w:val="0"/>
        <w:autoSpaceDN w:val="0"/>
        <w:adjustRightInd w:val="0"/>
        <w:jc w:val="left"/>
        <w:rPr>
          <w:rFonts w:ascii="仿宋_GB2312" w:eastAsia="仿宋_GB2312" w:cs="仿宋_GB2312"/>
          <w:kern w:val="0"/>
          <w:sz w:val="32"/>
          <w:szCs w:val="32"/>
        </w:rPr>
      </w:pPr>
    </w:p>
    <w:tbl>
      <w:tblPr>
        <w:tblStyle w:val="11"/>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865"/>
        <w:gridCol w:w="1911"/>
        <w:gridCol w:w="1992"/>
        <w:gridCol w:w="1874"/>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8" w:type="dxa"/>
            <w:gridSpan w:val="6"/>
          </w:tcPr>
          <w:p>
            <w:pPr>
              <w:spacing w:line="260" w:lineRule="exact"/>
              <w:rPr>
                <w:rFonts w:cs="宋体"/>
              </w:rPr>
            </w:pPr>
            <w:r>
              <w:rPr>
                <w:rFonts w:hint="eastAsia"/>
                <w:b/>
                <w:bCs/>
              </w:rPr>
              <w:t>五、</w:t>
            </w:r>
            <w:r>
              <w:rPr>
                <w:rFonts w:hint="eastAsia"/>
                <w:b/>
              </w:rPr>
              <w:t>污水管网提升改造行动。</w:t>
            </w:r>
            <w:r>
              <w:rPr>
                <w:rFonts w:hint="eastAsia"/>
              </w:rPr>
              <w:t>围绕目前城区污水管网破损严重、覆盖面不足等问题，对部分城区管网进行改造提升，新建污水配套管网，扩大污水收集范围。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9" w:type="dxa"/>
            <w:gridSpan w:val="2"/>
          </w:tcPr>
          <w:p>
            <w:pPr>
              <w:jc w:val="center"/>
              <w:rPr>
                <w:b/>
                <w:bCs/>
              </w:rPr>
            </w:pPr>
            <w:r>
              <w:rPr>
                <w:rFonts w:hint="eastAsia"/>
                <w:b/>
                <w:bCs/>
              </w:rPr>
              <w:t>具体内容</w:t>
            </w:r>
          </w:p>
        </w:tc>
        <w:tc>
          <w:tcPr>
            <w:tcW w:w="1911" w:type="dxa"/>
          </w:tcPr>
          <w:p>
            <w:pPr>
              <w:jc w:val="center"/>
              <w:rPr>
                <w:b/>
                <w:bCs/>
              </w:rPr>
            </w:pPr>
            <w:r>
              <w:rPr>
                <w:rFonts w:hint="eastAsia"/>
                <w:b/>
                <w:bCs/>
              </w:rPr>
              <w:t>牵头单位</w:t>
            </w:r>
          </w:p>
        </w:tc>
        <w:tc>
          <w:tcPr>
            <w:tcW w:w="1992" w:type="dxa"/>
          </w:tcPr>
          <w:p>
            <w:pPr>
              <w:jc w:val="center"/>
              <w:rPr>
                <w:b/>
                <w:bCs/>
              </w:rPr>
            </w:pPr>
            <w:r>
              <w:rPr>
                <w:rFonts w:hint="eastAsia"/>
                <w:b/>
                <w:bCs/>
              </w:rPr>
              <w:t>责任单位</w:t>
            </w:r>
          </w:p>
        </w:tc>
        <w:tc>
          <w:tcPr>
            <w:tcW w:w="1874" w:type="dxa"/>
          </w:tcPr>
          <w:p>
            <w:pPr>
              <w:jc w:val="center"/>
              <w:rPr>
                <w:b/>
                <w:bCs/>
              </w:rPr>
            </w:pPr>
            <w:r>
              <w:rPr>
                <w:rFonts w:hint="eastAsia"/>
                <w:b/>
                <w:bCs/>
              </w:rPr>
              <w:t>配合单位</w:t>
            </w:r>
          </w:p>
        </w:tc>
        <w:tc>
          <w:tcPr>
            <w:tcW w:w="2462" w:type="dxa"/>
          </w:tcPr>
          <w:p>
            <w:pPr>
              <w:jc w:val="center"/>
              <w:rPr>
                <w:b/>
                <w:bCs/>
              </w:rPr>
            </w:pPr>
            <w:r>
              <w:rPr>
                <w:rFonts w:hint="eastAsia"/>
                <w:b/>
                <w:bCs/>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5729" w:type="dxa"/>
            <w:gridSpan w:val="2"/>
            <w:vAlign w:val="center"/>
          </w:tcPr>
          <w:p>
            <w:pPr>
              <w:spacing w:line="400" w:lineRule="exact"/>
              <w:rPr>
                <w:rFonts w:cs="宋体"/>
              </w:rPr>
            </w:pPr>
            <w:r>
              <w:rPr>
                <w:rFonts w:hint="eastAsia" w:cs="宋体"/>
              </w:rPr>
              <w:t>11．</w:t>
            </w:r>
            <w:r>
              <w:rPr>
                <w:rFonts w:hint="eastAsia"/>
              </w:rPr>
              <w:t>围绕目前城区污水管网破损严重、覆盖面不足等问题，对部分城区管网进行改造提升，新建污水配套管网，扩大污水收集范围。新建改建污水管网1公里。</w:t>
            </w:r>
          </w:p>
        </w:tc>
        <w:tc>
          <w:tcPr>
            <w:tcW w:w="1911" w:type="dxa"/>
            <w:vAlign w:val="center"/>
          </w:tcPr>
          <w:p>
            <w:pPr>
              <w:spacing w:line="400" w:lineRule="exact"/>
              <w:jc w:val="center"/>
              <w:rPr>
                <w:rFonts w:cs="宋体"/>
              </w:rPr>
            </w:pPr>
            <w:r>
              <w:rPr>
                <w:rFonts w:cs="宋体"/>
              </w:rPr>
              <w:t>县住建局</w:t>
            </w:r>
          </w:p>
        </w:tc>
        <w:tc>
          <w:tcPr>
            <w:tcW w:w="1992" w:type="dxa"/>
            <w:vAlign w:val="center"/>
          </w:tcPr>
          <w:p>
            <w:pPr>
              <w:spacing w:line="400" w:lineRule="exact"/>
              <w:jc w:val="center"/>
              <w:rPr>
                <w:rFonts w:cs="宋体"/>
              </w:rPr>
            </w:pPr>
            <w:r>
              <w:rPr>
                <w:rFonts w:cs="宋体"/>
              </w:rPr>
              <w:t>县住建局、县综合行政执法局、县安澜城投集团</w:t>
            </w:r>
          </w:p>
        </w:tc>
        <w:tc>
          <w:tcPr>
            <w:tcW w:w="1874" w:type="dxa"/>
            <w:vAlign w:val="center"/>
          </w:tcPr>
          <w:p>
            <w:pPr>
              <w:spacing w:line="400" w:lineRule="exact"/>
              <w:jc w:val="center"/>
              <w:rPr>
                <w:rFonts w:cs="宋体"/>
              </w:rPr>
            </w:pPr>
          </w:p>
        </w:tc>
        <w:tc>
          <w:tcPr>
            <w:tcW w:w="2462" w:type="dxa"/>
            <w:vAlign w:val="center"/>
          </w:tcPr>
          <w:p>
            <w:pPr>
              <w:spacing w:line="400" w:lineRule="exact"/>
              <w:jc w:val="center"/>
              <w:rPr>
                <w:rFonts w:cs="宋体"/>
              </w:rPr>
            </w:pPr>
            <w:r>
              <w:rPr>
                <w:rFonts w:cs="宋体"/>
              </w:rPr>
              <w:t>20</w:t>
            </w:r>
            <w:r>
              <w:rPr>
                <w:rFonts w:hint="eastAsia" w:cs="宋体"/>
              </w:rPr>
              <w:t>22年</w:t>
            </w:r>
            <w:r>
              <w:rPr>
                <w:rFonts w:cs="宋体"/>
              </w:rPr>
              <w:t>1</w:t>
            </w:r>
            <w:r>
              <w:rPr>
                <w:rFonts w:hint="eastAsia" w:cs="宋体"/>
              </w:rPr>
              <w:t>2月底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8" w:type="dxa"/>
            <w:gridSpan w:val="6"/>
          </w:tcPr>
          <w:p>
            <w:pPr>
              <w:spacing w:line="260" w:lineRule="exact"/>
              <w:rPr>
                <w:rFonts w:cs="宋体"/>
              </w:rPr>
            </w:pPr>
            <w:r>
              <w:rPr>
                <w:rFonts w:hint="eastAsia"/>
                <w:b/>
                <w:bCs/>
              </w:rPr>
              <w:t>六、装修垃圾规范处置行动。</w:t>
            </w:r>
            <w:r>
              <w:rPr>
                <w:rFonts w:hint="eastAsia"/>
              </w:rPr>
              <w:t>对装修垃圾实行全过程管理，完善装修垃圾处置流程，按照城区每个居民小区设置一个投放点，农村每个乡镇设置一个集置点，每个行政村设置一个投放点，实行清运专业化运输，严厉打击偷排乱倒等违法行为，从而提高装修垃圾规范化处置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9" w:type="dxa"/>
            <w:gridSpan w:val="2"/>
          </w:tcPr>
          <w:p>
            <w:pPr>
              <w:jc w:val="center"/>
              <w:rPr>
                <w:b/>
                <w:bCs/>
              </w:rPr>
            </w:pPr>
            <w:r>
              <w:rPr>
                <w:rFonts w:hint="eastAsia"/>
                <w:b/>
                <w:bCs/>
              </w:rPr>
              <w:t>具体内容</w:t>
            </w:r>
          </w:p>
        </w:tc>
        <w:tc>
          <w:tcPr>
            <w:tcW w:w="1911" w:type="dxa"/>
          </w:tcPr>
          <w:p>
            <w:pPr>
              <w:jc w:val="center"/>
              <w:rPr>
                <w:b/>
                <w:bCs/>
              </w:rPr>
            </w:pPr>
            <w:r>
              <w:rPr>
                <w:rFonts w:hint="eastAsia"/>
                <w:b/>
                <w:bCs/>
              </w:rPr>
              <w:t>牵头单位</w:t>
            </w:r>
          </w:p>
        </w:tc>
        <w:tc>
          <w:tcPr>
            <w:tcW w:w="1992" w:type="dxa"/>
          </w:tcPr>
          <w:p>
            <w:pPr>
              <w:jc w:val="center"/>
              <w:rPr>
                <w:b/>
                <w:bCs/>
              </w:rPr>
            </w:pPr>
            <w:r>
              <w:rPr>
                <w:rFonts w:hint="eastAsia"/>
                <w:b/>
                <w:bCs/>
              </w:rPr>
              <w:t>责任单位</w:t>
            </w:r>
          </w:p>
        </w:tc>
        <w:tc>
          <w:tcPr>
            <w:tcW w:w="1874" w:type="dxa"/>
          </w:tcPr>
          <w:p>
            <w:pPr>
              <w:jc w:val="center"/>
              <w:rPr>
                <w:b/>
                <w:bCs/>
              </w:rPr>
            </w:pPr>
            <w:r>
              <w:rPr>
                <w:rFonts w:hint="eastAsia"/>
                <w:b/>
                <w:bCs/>
              </w:rPr>
              <w:t>配合单位</w:t>
            </w:r>
          </w:p>
        </w:tc>
        <w:tc>
          <w:tcPr>
            <w:tcW w:w="2462" w:type="dxa"/>
          </w:tcPr>
          <w:p>
            <w:pPr>
              <w:jc w:val="center"/>
              <w:rPr>
                <w:b/>
                <w:bCs/>
              </w:rPr>
            </w:pPr>
            <w:r>
              <w:rPr>
                <w:rFonts w:hint="eastAsia"/>
                <w:b/>
                <w:bCs/>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729" w:type="dxa"/>
            <w:gridSpan w:val="2"/>
            <w:vAlign w:val="center"/>
          </w:tcPr>
          <w:p>
            <w:pPr>
              <w:spacing w:line="320" w:lineRule="exact"/>
              <w:rPr>
                <w:rFonts w:cs="宋体"/>
              </w:rPr>
            </w:pPr>
            <w:r>
              <w:rPr>
                <w:rFonts w:hint="eastAsia" w:cs="宋体"/>
              </w:rPr>
              <w:t>12．规范提升物业小区内11个装修垃圾投放点，1个装修垃圾分拣中场。</w:t>
            </w:r>
          </w:p>
        </w:tc>
        <w:tc>
          <w:tcPr>
            <w:tcW w:w="1911" w:type="dxa"/>
            <w:vMerge w:val="restart"/>
            <w:vAlign w:val="center"/>
          </w:tcPr>
          <w:p>
            <w:pPr>
              <w:spacing w:line="320" w:lineRule="exact"/>
              <w:jc w:val="center"/>
              <w:rPr>
                <w:rFonts w:cs="宋体"/>
              </w:rPr>
            </w:pPr>
            <w:r>
              <w:rPr>
                <w:rFonts w:cs="宋体"/>
              </w:rPr>
              <w:t>县综合行政执法局</w:t>
            </w:r>
          </w:p>
        </w:tc>
        <w:tc>
          <w:tcPr>
            <w:tcW w:w="1992" w:type="dxa"/>
            <w:vAlign w:val="center"/>
          </w:tcPr>
          <w:p>
            <w:pPr>
              <w:spacing w:line="320" w:lineRule="exact"/>
              <w:jc w:val="center"/>
              <w:rPr>
                <w:rFonts w:cs="宋体"/>
              </w:rPr>
            </w:pPr>
            <w:r>
              <w:rPr>
                <w:rFonts w:cs="宋体"/>
              </w:rPr>
              <w:t>县住建局、县综合行政执法局</w:t>
            </w:r>
          </w:p>
        </w:tc>
        <w:tc>
          <w:tcPr>
            <w:tcW w:w="1874" w:type="dxa"/>
            <w:vAlign w:val="center"/>
          </w:tcPr>
          <w:p>
            <w:pPr>
              <w:spacing w:line="320" w:lineRule="exact"/>
              <w:jc w:val="center"/>
              <w:rPr>
                <w:rFonts w:cs="宋体"/>
              </w:rPr>
            </w:pPr>
          </w:p>
        </w:tc>
        <w:tc>
          <w:tcPr>
            <w:tcW w:w="2462" w:type="dxa"/>
            <w:vAlign w:val="center"/>
          </w:tcPr>
          <w:p>
            <w:pPr>
              <w:spacing w:line="320" w:lineRule="exact"/>
              <w:jc w:val="center"/>
              <w:rPr>
                <w:rFonts w:cs="宋体"/>
              </w:rPr>
            </w:pPr>
            <w:r>
              <w:rPr>
                <w:rFonts w:cs="宋体"/>
              </w:rPr>
              <w:t>20</w:t>
            </w:r>
            <w:r>
              <w:rPr>
                <w:rFonts w:hint="eastAsia" w:cs="宋体"/>
              </w:rPr>
              <w:t>22年</w:t>
            </w:r>
            <w:r>
              <w:rPr>
                <w:rFonts w:cs="宋体"/>
              </w:rPr>
              <w:t>1</w:t>
            </w:r>
            <w:r>
              <w:rPr>
                <w:rFonts w:hint="eastAsia" w:cs="宋体"/>
              </w:rPr>
              <w:t>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5729" w:type="dxa"/>
            <w:gridSpan w:val="2"/>
            <w:vAlign w:val="center"/>
          </w:tcPr>
          <w:p>
            <w:pPr>
              <w:spacing w:line="320" w:lineRule="exact"/>
              <w:rPr>
                <w:rFonts w:cs="宋体"/>
              </w:rPr>
            </w:pPr>
            <w:r>
              <w:rPr>
                <w:rFonts w:hint="eastAsia" w:cs="宋体"/>
              </w:rPr>
              <w:t>13．查处建筑垃圾（渣土）清运领域相关违法行为。</w:t>
            </w:r>
          </w:p>
        </w:tc>
        <w:tc>
          <w:tcPr>
            <w:tcW w:w="1911" w:type="dxa"/>
            <w:vMerge w:val="continue"/>
            <w:vAlign w:val="center"/>
          </w:tcPr>
          <w:p>
            <w:pPr>
              <w:spacing w:line="320" w:lineRule="exact"/>
              <w:jc w:val="center"/>
              <w:rPr>
                <w:rFonts w:cs="宋体"/>
              </w:rPr>
            </w:pPr>
          </w:p>
        </w:tc>
        <w:tc>
          <w:tcPr>
            <w:tcW w:w="1992" w:type="dxa"/>
            <w:vAlign w:val="center"/>
          </w:tcPr>
          <w:p>
            <w:pPr>
              <w:spacing w:line="320" w:lineRule="exact"/>
              <w:jc w:val="center"/>
              <w:rPr>
                <w:rFonts w:cs="宋体"/>
              </w:rPr>
            </w:pPr>
            <w:r>
              <w:rPr>
                <w:rFonts w:cs="宋体"/>
              </w:rPr>
              <w:t>县综合行政执法局</w:t>
            </w:r>
          </w:p>
        </w:tc>
        <w:tc>
          <w:tcPr>
            <w:tcW w:w="1874" w:type="dxa"/>
            <w:vAlign w:val="center"/>
          </w:tcPr>
          <w:p>
            <w:pPr>
              <w:spacing w:line="320" w:lineRule="exact"/>
              <w:jc w:val="center"/>
              <w:rPr>
                <w:rFonts w:cs="宋体"/>
              </w:rPr>
            </w:pPr>
            <w:r>
              <w:rPr>
                <w:rFonts w:cs="宋体"/>
              </w:rPr>
              <w:t>县公安局、县自然资源和规划局、县交通局</w:t>
            </w:r>
          </w:p>
        </w:tc>
        <w:tc>
          <w:tcPr>
            <w:tcW w:w="2462" w:type="dxa"/>
            <w:vAlign w:val="center"/>
          </w:tcPr>
          <w:p>
            <w:pPr>
              <w:spacing w:line="320" w:lineRule="exact"/>
              <w:jc w:val="center"/>
              <w:rPr>
                <w:rFonts w:cs="宋体"/>
              </w:rPr>
            </w:pPr>
            <w:r>
              <w:rPr>
                <w:rFonts w:cs="宋体"/>
              </w:rPr>
              <w:t>20</w:t>
            </w:r>
            <w:r>
              <w:rPr>
                <w:rFonts w:hint="eastAsia" w:cs="宋体"/>
              </w:rPr>
              <w:t>22年</w:t>
            </w:r>
            <w:r>
              <w:rPr>
                <w:rFonts w:cs="宋体"/>
              </w:rPr>
              <w:t>1</w:t>
            </w:r>
            <w:r>
              <w:rPr>
                <w:rFonts w:hint="eastAsia" w:cs="宋体"/>
              </w:rPr>
              <w:t>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729" w:type="dxa"/>
            <w:gridSpan w:val="2"/>
            <w:vAlign w:val="center"/>
          </w:tcPr>
          <w:p>
            <w:pPr>
              <w:spacing w:line="320" w:lineRule="exact"/>
              <w:rPr>
                <w:rFonts w:cs="宋体"/>
              </w:rPr>
            </w:pPr>
            <w:r>
              <w:rPr>
                <w:rFonts w:hint="eastAsia" w:cs="宋体"/>
              </w:rPr>
              <w:t>14．在城中村新增2个装修垃圾投放点。</w:t>
            </w:r>
          </w:p>
        </w:tc>
        <w:tc>
          <w:tcPr>
            <w:tcW w:w="1911" w:type="dxa"/>
            <w:vMerge w:val="continue"/>
            <w:vAlign w:val="center"/>
          </w:tcPr>
          <w:p>
            <w:pPr>
              <w:spacing w:line="320" w:lineRule="exact"/>
              <w:jc w:val="center"/>
              <w:rPr>
                <w:rFonts w:cs="宋体"/>
              </w:rPr>
            </w:pPr>
          </w:p>
        </w:tc>
        <w:tc>
          <w:tcPr>
            <w:tcW w:w="1992" w:type="dxa"/>
            <w:vAlign w:val="center"/>
          </w:tcPr>
          <w:p>
            <w:pPr>
              <w:spacing w:line="320" w:lineRule="exact"/>
              <w:jc w:val="center"/>
              <w:rPr>
                <w:rFonts w:cs="宋体"/>
              </w:rPr>
            </w:pPr>
            <w:r>
              <w:rPr>
                <w:rFonts w:cs="宋体"/>
              </w:rPr>
              <w:t>高亭镇</w:t>
            </w:r>
          </w:p>
        </w:tc>
        <w:tc>
          <w:tcPr>
            <w:tcW w:w="1874" w:type="dxa"/>
            <w:vAlign w:val="center"/>
          </w:tcPr>
          <w:p>
            <w:pPr>
              <w:spacing w:line="320" w:lineRule="exact"/>
              <w:jc w:val="center"/>
              <w:rPr>
                <w:rFonts w:cs="宋体"/>
              </w:rPr>
            </w:pPr>
          </w:p>
        </w:tc>
        <w:tc>
          <w:tcPr>
            <w:tcW w:w="2462" w:type="dxa"/>
            <w:vAlign w:val="center"/>
          </w:tcPr>
          <w:p>
            <w:pPr>
              <w:spacing w:line="320" w:lineRule="exact"/>
              <w:jc w:val="center"/>
              <w:rPr>
                <w:rFonts w:cs="宋体"/>
              </w:rPr>
            </w:pPr>
            <w:r>
              <w:rPr>
                <w:rFonts w:cs="宋体"/>
              </w:rPr>
              <w:t>20</w:t>
            </w:r>
            <w:r>
              <w:rPr>
                <w:rFonts w:hint="eastAsia" w:cs="宋体"/>
              </w:rPr>
              <w:t>22年</w:t>
            </w:r>
            <w:r>
              <w:rPr>
                <w:rFonts w:cs="宋体"/>
              </w:rPr>
              <w:t>1</w:t>
            </w:r>
            <w:r>
              <w:rPr>
                <w:rFonts w:hint="eastAsia" w:cs="宋体"/>
              </w:rPr>
              <w:t>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864" w:type="dxa"/>
            <w:vMerge w:val="restart"/>
            <w:vAlign w:val="center"/>
          </w:tcPr>
          <w:p>
            <w:pPr>
              <w:spacing w:line="320" w:lineRule="exact"/>
              <w:rPr>
                <w:rFonts w:cs="宋体"/>
              </w:rPr>
            </w:pPr>
            <w:r>
              <w:rPr>
                <w:rFonts w:hint="eastAsia" w:cs="宋体"/>
              </w:rPr>
              <w:t>15．农村共设置30个装修垃圾投放点和6个装修垃圾临时集置点。</w:t>
            </w:r>
          </w:p>
        </w:tc>
        <w:tc>
          <w:tcPr>
            <w:tcW w:w="2865" w:type="dxa"/>
            <w:vAlign w:val="center"/>
          </w:tcPr>
          <w:p>
            <w:pPr>
              <w:spacing w:line="320" w:lineRule="exact"/>
              <w:rPr>
                <w:rFonts w:cs="宋体"/>
              </w:rPr>
            </w:pPr>
            <w:r>
              <w:rPr>
                <w:rFonts w:cs="宋体"/>
              </w:rPr>
              <w:t>集置点</w:t>
            </w:r>
            <w:r>
              <w:rPr>
                <w:rFonts w:hint="eastAsia" w:cs="宋体"/>
              </w:rPr>
              <w:t>1个，投放点5个</w:t>
            </w:r>
          </w:p>
        </w:tc>
        <w:tc>
          <w:tcPr>
            <w:tcW w:w="1911" w:type="dxa"/>
            <w:vMerge w:val="restart"/>
            <w:vAlign w:val="center"/>
          </w:tcPr>
          <w:p>
            <w:pPr>
              <w:spacing w:line="320" w:lineRule="exact"/>
              <w:jc w:val="center"/>
              <w:rPr>
                <w:rFonts w:cs="宋体"/>
              </w:rPr>
            </w:pPr>
            <w:r>
              <w:rPr>
                <w:rFonts w:cs="宋体"/>
              </w:rPr>
              <w:t>县农业农村局</w:t>
            </w:r>
          </w:p>
        </w:tc>
        <w:tc>
          <w:tcPr>
            <w:tcW w:w="1992" w:type="dxa"/>
            <w:vAlign w:val="center"/>
          </w:tcPr>
          <w:p>
            <w:pPr>
              <w:spacing w:line="320" w:lineRule="exact"/>
              <w:jc w:val="center"/>
              <w:rPr>
                <w:rFonts w:cs="宋体"/>
              </w:rPr>
            </w:pPr>
            <w:r>
              <w:rPr>
                <w:rFonts w:cs="宋体"/>
              </w:rPr>
              <w:t>高亭镇</w:t>
            </w:r>
          </w:p>
        </w:tc>
        <w:tc>
          <w:tcPr>
            <w:tcW w:w="1874" w:type="dxa"/>
            <w:vMerge w:val="restart"/>
            <w:vAlign w:val="center"/>
          </w:tcPr>
          <w:p>
            <w:pPr>
              <w:spacing w:line="320" w:lineRule="exact"/>
              <w:jc w:val="center"/>
              <w:rPr>
                <w:rFonts w:cs="宋体"/>
              </w:rPr>
            </w:pPr>
          </w:p>
        </w:tc>
        <w:tc>
          <w:tcPr>
            <w:tcW w:w="2462" w:type="dxa"/>
            <w:vMerge w:val="restart"/>
            <w:vAlign w:val="center"/>
          </w:tcPr>
          <w:p>
            <w:pPr>
              <w:spacing w:line="320" w:lineRule="exact"/>
              <w:jc w:val="center"/>
              <w:rPr>
                <w:rFonts w:cs="宋体"/>
              </w:rPr>
            </w:pPr>
            <w:r>
              <w:rPr>
                <w:rFonts w:cs="宋体"/>
              </w:rPr>
              <w:t>20</w:t>
            </w:r>
            <w:r>
              <w:rPr>
                <w:rFonts w:hint="eastAsia" w:cs="宋体"/>
              </w:rPr>
              <w:t>22年</w:t>
            </w:r>
            <w:r>
              <w:rPr>
                <w:rFonts w:cs="宋体"/>
              </w:rPr>
              <w:t>1</w:t>
            </w:r>
            <w:r>
              <w:rPr>
                <w:rFonts w:hint="eastAsia" w:cs="宋体"/>
              </w:rPr>
              <w:t>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864" w:type="dxa"/>
            <w:vMerge w:val="continue"/>
            <w:vAlign w:val="center"/>
          </w:tcPr>
          <w:p>
            <w:pPr>
              <w:spacing w:line="320" w:lineRule="exact"/>
              <w:rPr>
                <w:rFonts w:cs="宋体"/>
              </w:rPr>
            </w:pPr>
          </w:p>
        </w:tc>
        <w:tc>
          <w:tcPr>
            <w:tcW w:w="2865" w:type="dxa"/>
            <w:vAlign w:val="center"/>
          </w:tcPr>
          <w:p>
            <w:pPr>
              <w:spacing w:line="320" w:lineRule="exact"/>
              <w:rPr>
                <w:rFonts w:cs="宋体"/>
              </w:rPr>
            </w:pPr>
            <w:r>
              <w:rPr>
                <w:rFonts w:cs="宋体"/>
              </w:rPr>
              <w:t>集置点</w:t>
            </w:r>
            <w:r>
              <w:rPr>
                <w:rFonts w:hint="eastAsia" w:cs="宋体"/>
              </w:rPr>
              <w:t>1个，投放点3个</w:t>
            </w:r>
          </w:p>
        </w:tc>
        <w:tc>
          <w:tcPr>
            <w:tcW w:w="1911" w:type="dxa"/>
            <w:vMerge w:val="continue"/>
            <w:vAlign w:val="center"/>
          </w:tcPr>
          <w:p>
            <w:pPr>
              <w:spacing w:line="320" w:lineRule="exact"/>
              <w:jc w:val="center"/>
              <w:rPr>
                <w:rFonts w:cs="宋体"/>
              </w:rPr>
            </w:pPr>
          </w:p>
        </w:tc>
        <w:tc>
          <w:tcPr>
            <w:tcW w:w="1992" w:type="dxa"/>
            <w:vAlign w:val="center"/>
          </w:tcPr>
          <w:p>
            <w:pPr>
              <w:spacing w:line="320" w:lineRule="exact"/>
              <w:jc w:val="center"/>
              <w:rPr>
                <w:rFonts w:cs="宋体"/>
              </w:rPr>
            </w:pPr>
            <w:r>
              <w:rPr>
                <w:rFonts w:cs="宋体"/>
              </w:rPr>
              <w:t>东沙镇</w:t>
            </w:r>
          </w:p>
        </w:tc>
        <w:tc>
          <w:tcPr>
            <w:tcW w:w="1874" w:type="dxa"/>
            <w:vMerge w:val="continue"/>
            <w:vAlign w:val="center"/>
          </w:tcPr>
          <w:p>
            <w:pPr>
              <w:spacing w:line="320" w:lineRule="exact"/>
              <w:jc w:val="center"/>
              <w:rPr>
                <w:rFonts w:cs="宋体"/>
              </w:rPr>
            </w:pPr>
          </w:p>
        </w:tc>
        <w:tc>
          <w:tcPr>
            <w:tcW w:w="2462" w:type="dxa"/>
            <w:vMerge w:val="continue"/>
            <w:vAlign w:val="center"/>
          </w:tcPr>
          <w:p>
            <w:pPr>
              <w:spacing w:line="32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864" w:type="dxa"/>
            <w:vMerge w:val="continue"/>
            <w:vAlign w:val="center"/>
          </w:tcPr>
          <w:p>
            <w:pPr>
              <w:spacing w:line="320" w:lineRule="exact"/>
              <w:rPr>
                <w:rFonts w:cs="宋体"/>
              </w:rPr>
            </w:pPr>
          </w:p>
        </w:tc>
        <w:tc>
          <w:tcPr>
            <w:tcW w:w="2865" w:type="dxa"/>
            <w:vAlign w:val="center"/>
          </w:tcPr>
          <w:p>
            <w:pPr>
              <w:spacing w:line="320" w:lineRule="exact"/>
              <w:rPr>
                <w:rFonts w:cs="宋体"/>
              </w:rPr>
            </w:pPr>
            <w:r>
              <w:rPr>
                <w:rFonts w:cs="宋体"/>
              </w:rPr>
              <w:t>集置点</w:t>
            </w:r>
            <w:r>
              <w:rPr>
                <w:rFonts w:hint="eastAsia" w:cs="宋体"/>
              </w:rPr>
              <w:t>1个，投放点1个</w:t>
            </w:r>
          </w:p>
        </w:tc>
        <w:tc>
          <w:tcPr>
            <w:tcW w:w="1911" w:type="dxa"/>
            <w:vMerge w:val="continue"/>
            <w:vAlign w:val="center"/>
          </w:tcPr>
          <w:p>
            <w:pPr>
              <w:spacing w:line="320" w:lineRule="exact"/>
              <w:jc w:val="center"/>
              <w:rPr>
                <w:rFonts w:cs="宋体"/>
              </w:rPr>
            </w:pPr>
          </w:p>
        </w:tc>
        <w:tc>
          <w:tcPr>
            <w:tcW w:w="1992" w:type="dxa"/>
            <w:vAlign w:val="center"/>
          </w:tcPr>
          <w:p>
            <w:pPr>
              <w:spacing w:line="320" w:lineRule="exact"/>
              <w:jc w:val="center"/>
              <w:rPr>
                <w:rFonts w:cs="宋体"/>
              </w:rPr>
            </w:pPr>
            <w:r>
              <w:rPr>
                <w:rFonts w:cs="宋体"/>
              </w:rPr>
              <w:t>岱西镇</w:t>
            </w:r>
          </w:p>
        </w:tc>
        <w:tc>
          <w:tcPr>
            <w:tcW w:w="1874" w:type="dxa"/>
            <w:vMerge w:val="continue"/>
            <w:vAlign w:val="center"/>
          </w:tcPr>
          <w:p>
            <w:pPr>
              <w:spacing w:line="320" w:lineRule="exact"/>
              <w:jc w:val="center"/>
              <w:rPr>
                <w:rFonts w:cs="宋体"/>
              </w:rPr>
            </w:pPr>
          </w:p>
        </w:tc>
        <w:tc>
          <w:tcPr>
            <w:tcW w:w="2462" w:type="dxa"/>
            <w:vMerge w:val="continue"/>
            <w:vAlign w:val="center"/>
          </w:tcPr>
          <w:p>
            <w:pPr>
              <w:spacing w:line="32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864" w:type="dxa"/>
            <w:vMerge w:val="continue"/>
            <w:vAlign w:val="center"/>
          </w:tcPr>
          <w:p>
            <w:pPr>
              <w:spacing w:line="320" w:lineRule="exact"/>
              <w:rPr>
                <w:rFonts w:cs="宋体"/>
              </w:rPr>
            </w:pPr>
          </w:p>
        </w:tc>
        <w:tc>
          <w:tcPr>
            <w:tcW w:w="2865" w:type="dxa"/>
            <w:vAlign w:val="center"/>
          </w:tcPr>
          <w:p>
            <w:pPr>
              <w:spacing w:line="320" w:lineRule="exact"/>
              <w:rPr>
                <w:rFonts w:cs="宋体"/>
              </w:rPr>
            </w:pPr>
            <w:r>
              <w:rPr>
                <w:rFonts w:cs="宋体"/>
              </w:rPr>
              <w:t>集置点</w:t>
            </w:r>
            <w:r>
              <w:rPr>
                <w:rFonts w:hint="eastAsia" w:cs="宋体"/>
              </w:rPr>
              <w:t>1个，投放点2个</w:t>
            </w:r>
          </w:p>
        </w:tc>
        <w:tc>
          <w:tcPr>
            <w:tcW w:w="1911" w:type="dxa"/>
            <w:vMerge w:val="continue"/>
            <w:vAlign w:val="center"/>
          </w:tcPr>
          <w:p>
            <w:pPr>
              <w:spacing w:line="320" w:lineRule="exact"/>
              <w:jc w:val="center"/>
              <w:rPr>
                <w:rFonts w:cs="宋体"/>
              </w:rPr>
            </w:pPr>
          </w:p>
        </w:tc>
        <w:tc>
          <w:tcPr>
            <w:tcW w:w="1992" w:type="dxa"/>
            <w:vAlign w:val="center"/>
          </w:tcPr>
          <w:p>
            <w:pPr>
              <w:spacing w:line="320" w:lineRule="exact"/>
              <w:jc w:val="center"/>
              <w:rPr>
                <w:rFonts w:cs="宋体"/>
              </w:rPr>
            </w:pPr>
            <w:r>
              <w:rPr>
                <w:rFonts w:cs="宋体"/>
              </w:rPr>
              <w:t>岱东镇</w:t>
            </w:r>
          </w:p>
        </w:tc>
        <w:tc>
          <w:tcPr>
            <w:tcW w:w="1874" w:type="dxa"/>
            <w:vMerge w:val="continue"/>
            <w:vAlign w:val="center"/>
          </w:tcPr>
          <w:p>
            <w:pPr>
              <w:spacing w:line="320" w:lineRule="exact"/>
              <w:jc w:val="center"/>
              <w:rPr>
                <w:rFonts w:cs="宋体"/>
              </w:rPr>
            </w:pPr>
          </w:p>
        </w:tc>
        <w:tc>
          <w:tcPr>
            <w:tcW w:w="2462" w:type="dxa"/>
            <w:vMerge w:val="continue"/>
            <w:vAlign w:val="center"/>
          </w:tcPr>
          <w:p>
            <w:pPr>
              <w:spacing w:line="32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864" w:type="dxa"/>
            <w:vMerge w:val="continue"/>
            <w:vAlign w:val="center"/>
          </w:tcPr>
          <w:p>
            <w:pPr>
              <w:spacing w:line="320" w:lineRule="exact"/>
              <w:rPr>
                <w:rFonts w:cs="宋体"/>
              </w:rPr>
            </w:pPr>
          </w:p>
        </w:tc>
        <w:tc>
          <w:tcPr>
            <w:tcW w:w="2865" w:type="dxa"/>
            <w:vAlign w:val="center"/>
          </w:tcPr>
          <w:p>
            <w:pPr>
              <w:spacing w:line="320" w:lineRule="exact"/>
              <w:rPr>
                <w:rFonts w:cs="宋体"/>
              </w:rPr>
            </w:pPr>
            <w:r>
              <w:rPr>
                <w:rFonts w:cs="宋体"/>
              </w:rPr>
              <w:t>集置点</w:t>
            </w:r>
            <w:r>
              <w:rPr>
                <w:rFonts w:hint="eastAsia" w:cs="宋体"/>
              </w:rPr>
              <w:t>1个，投放点1个</w:t>
            </w:r>
          </w:p>
        </w:tc>
        <w:tc>
          <w:tcPr>
            <w:tcW w:w="1911" w:type="dxa"/>
            <w:vMerge w:val="continue"/>
            <w:vAlign w:val="center"/>
          </w:tcPr>
          <w:p>
            <w:pPr>
              <w:spacing w:line="320" w:lineRule="exact"/>
              <w:jc w:val="center"/>
              <w:rPr>
                <w:rFonts w:cs="宋体"/>
              </w:rPr>
            </w:pPr>
          </w:p>
        </w:tc>
        <w:tc>
          <w:tcPr>
            <w:tcW w:w="1992" w:type="dxa"/>
            <w:vAlign w:val="center"/>
          </w:tcPr>
          <w:p>
            <w:pPr>
              <w:spacing w:line="320" w:lineRule="exact"/>
              <w:jc w:val="center"/>
              <w:rPr>
                <w:rFonts w:cs="宋体"/>
              </w:rPr>
            </w:pPr>
            <w:r>
              <w:rPr>
                <w:rFonts w:cs="宋体"/>
              </w:rPr>
              <w:t>长涂镇</w:t>
            </w:r>
          </w:p>
        </w:tc>
        <w:tc>
          <w:tcPr>
            <w:tcW w:w="1874" w:type="dxa"/>
            <w:vMerge w:val="continue"/>
            <w:vAlign w:val="center"/>
          </w:tcPr>
          <w:p>
            <w:pPr>
              <w:spacing w:line="320" w:lineRule="exact"/>
              <w:jc w:val="center"/>
              <w:rPr>
                <w:rFonts w:cs="宋体"/>
              </w:rPr>
            </w:pPr>
          </w:p>
        </w:tc>
        <w:tc>
          <w:tcPr>
            <w:tcW w:w="2462" w:type="dxa"/>
            <w:vMerge w:val="continue"/>
            <w:vAlign w:val="center"/>
          </w:tcPr>
          <w:p>
            <w:pPr>
              <w:spacing w:line="320" w:lineRule="exact"/>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864" w:type="dxa"/>
            <w:vMerge w:val="continue"/>
            <w:vAlign w:val="center"/>
          </w:tcPr>
          <w:p>
            <w:pPr>
              <w:spacing w:line="320" w:lineRule="exact"/>
              <w:rPr>
                <w:rFonts w:cs="宋体"/>
              </w:rPr>
            </w:pPr>
          </w:p>
        </w:tc>
        <w:tc>
          <w:tcPr>
            <w:tcW w:w="2865" w:type="dxa"/>
            <w:vAlign w:val="center"/>
          </w:tcPr>
          <w:p>
            <w:pPr>
              <w:spacing w:line="320" w:lineRule="exact"/>
              <w:rPr>
                <w:rFonts w:cs="宋体"/>
              </w:rPr>
            </w:pPr>
            <w:r>
              <w:rPr>
                <w:rFonts w:cs="宋体"/>
              </w:rPr>
              <w:t>集置点</w:t>
            </w:r>
            <w:r>
              <w:rPr>
                <w:rFonts w:hint="eastAsia" w:cs="宋体"/>
              </w:rPr>
              <w:t>1个，投放点18个</w:t>
            </w:r>
          </w:p>
        </w:tc>
        <w:tc>
          <w:tcPr>
            <w:tcW w:w="1911" w:type="dxa"/>
            <w:vMerge w:val="continue"/>
            <w:vAlign w:val="center"/>
          </w:tcPr>
          <w:p>
            <w:pPr>
              <w:spacing w:line="320" w:lineRule="exact"/>
              <w:jc w:val="center"/>
              <w:rPr>
                <w:rFonts w:cs="宋体"/>
              </w:rPr>
            </w:pPr>
          </w:p>
        </w:tc>
        <w:tc>
          <w:tcPr>
            <w:tcW w:w="1992" w:type="dxa"/>
            <w:vAlign w:val="center"/>
          </w:tcPr>
          <w:p>
            <w:pPr>
              <w:spacing w:line="320" w:lineRule="exact"/>
              <w:jc w:val="center"/>
              <w:rPr>
                <w:rFonts w:cs="宋体"/>
              </w:rPr>
            </w:pPr>
            <w:r>
              <w:rPr>
                <w:rFonts w:cs="宋体"/>
              </w:rPr>
              <w:t>衢山镇</w:t>
            </w:r>
          </w:p>
        </w:tc>
        <w:tc>
          <w:tcPr>
            <w:tcW w:w="1874" w:type="dxa"/>
            <w:vMerge w:val="continue"/>
            <w:vAlign w:val="center"/>
          </w:tcPr>
          <w:p>
            <w:pPr>
              <w:spacing w:line="320" w:lineRule="exact"/>
              <w:jc w:val="center"/>
              <w:rPr>
                <w:rFonts w:cs="宋体"/>
              </w:rPr>
            </w:pPr>
          </w:p>
        </w:tc>
        <w:tc>
          <w:tcPr>
            <w:tcW w:w="2462" w:type="dxa"/>
            <w:vMerge w:val="continue"/>
            <w:vAlign w:val="center"/>
          </w:tcPr>
          <w:p>
            <w:pPr>
              <w:spacing w:line="320" w:lineRule="exact"/>
              <w:jc w:val="center"/>
              <w:rPr>
                <w:rFonts w:cs="宋体"/>
              </w:rPr>
            </w:pPr>
          </w:p>
        </w:tc>
      </w:tr>
    </w:tbl>
    <w:p>
      <w:pPr>
        <w:autoSpaceDE w:val="0"/>
        <w:autoSpaceDN w:val="0"/>
        <w:adjustRightInd w:val="0"/>
        <w:jc w:val="left"/>
        <w:rPr>
          <w:rFonts w:ascii="仿宋_GB2312" w:eastAsia="仿宋_GB2312" w:cs="仿宋_GB2312"/>
          <w:kern w:val="0"/>
          <w:sz w:val="24"/>
          <w:szCs w:val="32"/>
        </w:rPr>
      </w:pPr>
    </w:p>
    <w:tbl>
      <w:tblPr>
        <w:tblStyle w:val="11"/>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9"/>
        <w:gridCol w:w="1911"/>
        <w:gridCol w:w="1992"/>
        <w:gridCol w:w="1874"/>
        <w:gridCol w:w="2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8" w:type="dxa"/>
            <w:gridSpan w:val="5"/>
          </w:tcPr>
          <w:p>
            <w:pPr>
              <w:spacing w:line="260" w:lineRule="exact"/>
              <w:rPr>
                <w:rFonts w:cs="宋体"/>
                <w:color w:val="000000" w:themeColor="text1"/>
                <w14:textFill>
                  <w14:solidFill>
                    <w14:schemeClr w14:val="tx1"/>
                  </w14:solidFill>
                </w14:textFill>
              </w:rPr>
            </w:pPr>
            <w:r>
              <w:rPr>
                <w:rFonts w:hint="eastAsia"/>
                <w:b/>
                <w:bCs/>
                <w:color w:val="000000" w:themeColor="text1"/>
                <w14:textFill>
                  <w14:solidFill>
                    <w14:schemeClr w14:val="tx1"/>
                  </w14:solidFill>
                </w14:textFill>
              </w:rPr>
              <w:t>七、“马路拉链”规范行动。</w:t>
            </w:r>
            <w:r>
              <w:rPr>
                <w:rFonts w:hint="eastAsia"/>
                <w:color w:val="000000" w:themeColor="text1"/>
                <w14:textFill>
                  <w14:solidFill>
                    <w14:schemeClr w14:val="tx1"/>
                  </w14:solidFill>
                </w14:textFill>
              </w:rPr>
              <w:t>根据城市管理精细化要求，建立配合协作、信息沟通长效机制，严格落实城市道路挖掘审批（备案）制度，强化事中事后监管，加大对违法行为的查处力度，进一步规范全县道路挖掘管理。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9" w:type="dxa"/>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具体内容</w:t>
            </w:r>
          </w:p>
        </w:tc>
        <w:tc>
          <w:tcPr>
            <w:tcW w:w="1911" w:type="dxa"/>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牵头单位</w:t>
            </w:r>
          </w:p>
        </w:tc>
        <w:tc>
          <w:tcPr>
            <w:tcW w:w="1992" w:type="dxa"/>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责任单位</w:t>
            </w:r>
          </w:p>
        </w:tc>
        <w:tc>
          <w:tcPr>
            <w:tcW w:w="1874" w:type="dxa"/>
          </w:tcPr>
          <w:p>
            <w:pPr>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配合单位</w:t>
            </w:r>
          </w:p>
        </w:tc>
        <w:tc>
          <w:tcPr>
            <w:tcW w:w="2462" w:type="dxa"/>
          </w:tcPr>
          <w:p>
            <w:pPr>
              <w:jc w:val="center"/>
              <w:rPr>
                <w:b/>
                <w:bCs/>
              </w:rPr>
            </w:pPr>
            <w:r>
              <w:rPr>
                <w:rFonts w:hint="eastAsia"/>
                <w:b/>
                <w:bCs/>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5729" w:type="dxa"/>
            <w:vAlign w:val="center"/>
          </w:tcPr>
          <w:p>
            <w:pPr>
              <w:spacing w:line="3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16．根据城市管理精细化要求，建立配合协作、信息沟通长效机制。</w:t>
            </w:r>
          </w:p>
        </w:tc>
        <w:tc>
          <w:tcPr>
            <w:tcW w:w="1911" w:type="dxa"/>
            <w:vAlign w:val="center"/>
          </w:tcPr>
          <w:p>
            <w:pPr>
              <w:spacing w:line="300" w:lineRule="exact"/>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县住建局</w:t>
            </w:r>
          </w:p>
        </w:tc>
        <w:tc>
          <w:tcPr>
            <w:tcW w:w="1992" w:type="dxa"/>
            <w:vAlign w:val="center"/>
          </w:tcPr>
          <w:p>
            <w:pPr>
              <w:spacing w:line="300" w:lineRule="exact"/>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县安澜城投集团、各管线权属单位</w:t>
            </w:r>
          </w:p>
        </w:tc>
        <w:tc>
          <w:tcPr>
            <w:tcW w:w="1874" w:type="dxa"/>
            <w:vAlign w:val="center"/>
          </w:tcPr>
          <w:p>
            <w:pPr>
              <w:spacing w:line="300" w:lineRule="exact"/>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县自然资源和规划局、县</w:t>
            </w:r>
            <w:r>
              <w:rPr>
                <w:rFonts w:hint="eastAsia" w:cs="宋体"/>
                <w:color w:val="000000" w:themeColor="text1"/>
                <w14:textFill>
                  <w14:solidFill>
                    <w14:schemeClr w14:val="tx1"/>
                  </w14:solidFill>
                </w14:textFill>
              </w:rPr>
              <w:t>交通局、县公安局、市生态环境局岱山分局、县文旅局</w:t>
            </w:r>
          </w:p>
        </w:tc>
        <w:tc>
          <w:tcPr>
            <w:tcW w:w="2462" w:type="dxa"/>
            <w:vAlign w:val="center"/>
          </w:tcPr>
          <w:p>
            <w:pPr>
              <w:spacing w:line="300" w:lineRule="exact"/>
              <w:jc w:val="center"/>
              <w:rPr>
                <w:rFonts w:cs="宋体"/>
              </w:rPr>
            </w:pPr>
            <w:r>
              <w:rPr>
                <w:rFonts w:cs="宋体"/>
              </w:rPr>
              <w:t>20</w:t>
            </w:r>
            <w:r>
              <w:rPr>
                <w:rFonts w:hint="eastAsia" w:cs="宋体"/>
              </w:rPr>
              <w:t>22年</w:t>
            </w:r>
            <w:r>
              <w:rPr>
                <w:rFonts w:cs="宋体"/>
              </w:rPr>
              <w:t>1</w:t>
            </w:r>
            <w:r>
              <w:rPr>
                <w:rFonts w:hint="eastAsia" w:cs="宋体"/>
              </w:rPr>
              <w:t>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5729" w:type="dxa"/>
            <w:vAlign w:val="center"/>
          </w:tcPr>
          <w:p>
            <w:pPr>
              <w:spacing w:line="300" w:lineRule="exac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17．严格落实城市道路挖掘审批（备案）制度，强化事中事后监管，加大对违法行为的查处力度，进一步规范全县道路挖掘管理。</w:t>
            </w:r>
          </w:p>
        </w:tc>
        <w:tc>
          <w:tcPr>
            <w:tcW w:w="1911" w:type="dxa"/>
            <w:vAlign w:val="center"/>
          </w:tcPr>
          <w:p>
            <w:pPr>
              <w:spacing w:line="300" w:lineRule="exact"/>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县综合行政执法局</w:t>
            </w:r>
          </w:p>
        </w:tc>
        <w:tc>
          <w:tcPr>
            <w:tcW w:w="1992" w:type="dxa"/>
            <w:vAlign w:val="center"/>
          </w:tcPr>
          <w:p>
            <w:pPr>
              <w:spacing w:line="300" w:lineRule="exact"/>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县综合行政执法局</w:t>
            </w:r>
          </w:p>
        </w:tc>
        <w:tc>
          <w:tcPr>
            <w:tcW w:w="1874" w:type="dxa"/>
            <w:vAlign w:val="center"/>
          </w:tcPr>
          <w:p>
            <w:pPr>
              <w:spacing w:line="300" w:lineRule="exact"/>
              <w:jc w:val="center"/>
              <w:rPr>
                <w:rFonts w:cs="宋体"/>
                <w:color w:val="000000" w:themeColor="text1"/>
                <w14:textFill>
                  <w14:solidFill>
                    <w14:schemeClr w14:val="tx1"/>
                  </w14:solidFill>
                </w14:textFill>
              </w:rPr>
            </w:pPr>
          </w:p>
        </w:tc>
        <w:tc>
          <w:tcPr>
            <w:tcW w:w="2462" w:type="dxa"/>
            <w:vAlign w:val="center"/>
          </w:tcPr>
          <w:p>
            <w:pPr>
              <w:spacing w:line="300" w:lineRule="exact"/>
              <w:jc w:val="center"/>
              <w:rPr>
                <w:rFonts w:cs="宋体"/>
              </w:rPr>
            </w:pPr>
            <w:r>
              <w:rPr>
                <w:rFonts w:cs="宋体"/>
              </w:rPr>
              <w:t>20</w:t>
            </w:r>
            <w:r>
              <w:rPr>
                <w:rFonts w:hint="eastAsia" w:cs="宋体"/>
              </w:rPr>
              <w:t>22年</w:t>
            </w:r>
            <w:r>
              <w:rPr>
                <w:rFonts w:cs="宋体"/>
              </w:rPr>
              <w:t>1</w:t>
            </w:r>
            <w:r>
              <w:rPr>
                <w:rFonts w:hint="eastAsia" w:cs="宋体"/>
              </w:rPr>
              <w:t>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68" w:type="dxa"/>
            <w:gridSpan w:val="5"/>
          </w:tcPr>
          <w:p>
            <w:pPr>
              <w:spacing w:line="260" w:lineRule="exact"/>
              <w:rPr>
                <w:rFonts w:cs="宋体"/>
              </w:rPr>
            </w:pPr>
            <w:r>
              <w:rPr>
                <w:rFonts w:hint="eastAsia"/>
                <w:b/>
                <w:bCs/>
              </w:rPr>
              <w:t>八、</w:t>
            </w:r>
            <w:r>
              <w:rPr>
                <w:rFonts w:hint="eastAsia"/>
                <w:b/>
              </w:rPr>
              <w:t>“广场舞”规范整治行动。</w:t>
            </w:r>
            <w:r>
              <w:rPr>
                <w:rFonts w:hint="eastAsia"/>
              </w:rPr>
              <w:t>对市民群众反映强烈的广场舞点进行规范管理，通过控制音响分贝、明确舞点、限定人数、时间等要素，减少广场舞对市民群众带来的噪声音响，强化制度约束，提高各舞团自我管理能力。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9" w:type="dxa"/>
          </w:tcPr>
          <w:p>
            <w:pPr>
              <w:jc w:val="center"/>
              <w:rPr>
                <w:b/>
                <w:bCs/>
              </w:rPr>
            </w:pPr>
            <w:r>
              <w:rPr>
                <w:rFonts w:hint="eastAsia"/>
                <w:b/>
                <w:bCs/>
              </w:rPr>
              <w:t>具体内容</w:t>
            </w:r>
          </w:p>
        </w:tc>
        <w:tc>
          <w:tcPr>
            <w:tcW w:w="1911" w:type="dxa"/>
          </w:tcPr>
          <w:p>
            <w:pPr>
              <w:jc w:val="center"/>
              <w:rPr>
                <w:b/>
                <w:bCs/>
              </w:rPr>
            </w:pPr>
            <w:r>
              <w:rPr>
                <w:rFonts w:hint="eastAsia"/>
                <w:b/>
                <w:bCs/>
              </w:rPr>
              <w:t>牵头单位</w:t>
            </w:r>
          </w:p>
        </w:tc>
        <w:tc>
          <w:tcPr>
            <w:tcW w:w="1992" w:type="dxa"/>
          </w:tcPr>
          <w:p>
            <w:pPr>
              <w:jc w:val="center"/>
              <w:rPr>
                <w:b/>
                <w:bCs/>
              </w:rPr>
            </w:pPr>
            <w:r>
              <w:rPr>
                <w:rFonts w:hint="eastAsia"/>
                <w:b/>
                <w:bCs/>
              </w:rPr>
              <w:t>责任单位</w:t>
            </w:r>
          </w:p>
        </w:tc>
        <w:tc>
          <w:tcPr>
            <w:tcW w:w="1874" w:type="dxa"/>
          </w:tcPr>
          <w:p>
            <w:pPr>
              <w:jc w:val="center"/>
              <w:rPr>
                <w:b/>
                <w:bCs/>
              </w:rPr>
            </w:pPr>
            <w:r>
              <w:rPr>
                <w:rFonts w:hint="eastAsia"/>
                <w:b/>
                <w:bCs/>
              </w:rPr>
              <w:t>配合单位</w:t>
            </w:r>
          </w:p>
        </w:tc>
        <w:tc>
          <w:tcPr>
            <w:tcW w:w="2462" w:type="dxa"/>
          </w:tcPr>
          <w:p>
            <w:pPr>
              <w:jc w:val="center"/>
              <w:rPr>
                <w:b/>
                <w:bCs/>
              </w:rPr>
            </w:pPr>
            <w:r>
              <w:rPr>
                <w:rFonts w:hint="eastAsia"/>
                <w:b/>
                <w:bCs/>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5729" w:type="dxa"/>
            <w:vAlign w:val="center"/>
          </w:tcPr>
          <w:p>
            <w:pPr>
              <w:spacing w:line="300" w:lineRule="exact"/>
              <w:rPr>
                <w:rFonts w:cs="宋体"/>
              </w:rPr>
            </w:pPr>
            <w:r>
              <w:rPr>
                <w:rFonts w:hint="eastAsia" w:cs="宋体"/>
              </w:rPr>
              <w:t>18．</w:t>
            </w:r>
            <w:r>
              <w:rPr>
                <w:rFonts w:hint="eastAsia"/>
              </w:rPr>
              <w:t>对群众反映强烈的2个舞点（新区观海平台、行政中心广场）进行整治，对广场舞活动进行常态巡查、监督，及时查处</w:t>
            </w:r>
            <w:r>
              <w:t>广场舞参与人员破坏公共设施、绿化，乱扔、乱倒废弃物等影响市容市貌和环境卫生</w:t>
            </w:r>
            <w:r>
              <w:rPr>
                <w:rFonts w:hint="eastAsia"/>
              </w:rPr>
              <w:t>行为</w:t>
            </w:r>
            <w:r>
              <w:t>。</w:t>
            </w:r>
          </w:p>
        </w:tc>
        <w:tc>
          <w:tcPr>
            <w:tcW w:w="1911" w:type="dxa"/>
            <w:vMerge w:val="restart"/>
            <w:vAlign w:val="center"/>
          </w:tcPr>
          <w:p>
            <w:pPr>
              <w:spacing w:line="300" w:lineRule="exact"/>
              <w:jc w:val="center"/>
              <w:rPr>
                <w:rFonts w:cs="宋体"/>
              </w:rPr>
            </w:pPr>
            <w:r>
              <w:rPr>
                <w:rFonts w:cs="宋体"/>
              </w:rPr>
              <w:t>县综合行政执法局、县公安局</w:t>
            </w:r>
          </w:p>
        </w:tc>
        <w:tc>
          <w:tcPr>
            <w:tcW w:w="1992" w:type="dxa"/>
            <w:vAlign w:val="center"/>
          </w:tcPr>
          <w:p>
            <w:pPr>
              <w:spacing w:line="300" w:lineRule="exact"/>
              <w:rPr>
                <w:rFonts w:cs="宋体"/>
              </w:rPr>
            </w:pPr>
            <w:r>
              <w:rPr>
                <w:rFonts w:cs="宋体"/>
              </w:rPr>
              <w:t>县综合行政执法局</w:t>
            </w:r>
          </w:p>
        </w:tc>
        <w:tc>
          <w:tcPr>
            <w:tcW w:w="1874" w:type="dxa"/>
            <w:vAlign w:val="center"/>
          </w:tcPr>
          <w:p>
            <w:pPr>
              <w:spacing w:line="300" w:lineRule="exact"/>
              <w:jc w:val="center"/>
              <w:rPr>
                <w:rFonts w:cs="宋体"/>
              </w:rPr>
            </w:pPr>
            <w:r>
              <w:rPr>
                <w:rFonts w:cs="宋体"/>
              </w:rPr>
              <w:t>县公安局、高亭镇</w:t>
            </w:r>
          </w:p>
        </w:tc>
        <w:tc>
          <w:tcPr>
            <w:tcW w:w="2462" w:type="dxa"/>
            <w:vAlign w:val="center"/>
          </w:tcPr>
          <w:p>
            <w:pPr>
              <w:spacing w:line="300" w:lineRule="exact"/>
              <w:jc w:val="center"/>
              <w:rPr>
                <w:rFonts w:cs="宋体"/>
              </w:rPr>
            </w:pPr>
            <w:r>
              <w:rPr>
                <w:rFonts w:cs="宋体"/>
              </w:rPr>
              <w:t>20</w:t>
            </w:r>
            <w:r>
              <w:rPr>
                <w:rFonts w:hint="eastAsia" w:cs="宋体"/>
              </w:rPr>
              <w:t>22年</w:t>
            </w:r>
            <w:r>
              <w:rPr>
                <w:rFonts w:cs="宋体"/>
              </w:rPr>
              <w:t>1</w:t>
            </w:r>
            <w:r>
              <w:rPr>
                <w:rFonts w:hint="eastAsia" w:cs="宋体"/>
              </w:rPr>
              <w:t>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5729" w:type="dxa"/>
            <w:vAlign w:val="center"/>
          </w:tcPr>
          <w:p>
            <w:pPr>
              <w:spacing w:line="300" w:lineRule="exact"/>
              <w:rPr>
                <w:rFonts w:cs="宋体"/>
              </w:rPr>
            </w:pPr>
            <w:r>
              <w:rPr>
                <w:rFonts w:hint="eastAsia" w:cs="宋体"/>
              </w:rPr>
              <w:t>19．</w:t>
            </w:r>
            <w:r>
              <w:rPr>
                <w:rFonts w:hint="eastAsia"/>
              </w:rPr>
              <w:t>做好整治现场执法保障工作，受理相关投诉、举报。</w:t>
            </w:r>
            <w:r>
              <w:t>查处</w:t>
            </w:r>
            <w:r>
              <w:rPr>
                <w:rFonts w:hint="eastAsia"/>
              </w:rPr>
              <w:t>高亭</w:t>
            </w:r>
            <w:r>
              <w:t>公园广场、住宅小区周边广场舞噪声扰民问题</w:t>
            </w:r>
            <w:r>
              <w:rPr>
                <w:rFonts w:hint="eastAsia"/>
              </w:rPr>
              <w:t>及</w:t>
            </w:r>
            <w:r>
              <w:t>占用城市道路、影响交通安全的广场舞行为。</w:t>
            </w:r>
          </w:p>
        </w:tc>
        <w:tc>
          <w:tcPr>
            <w:tcW w:w="1911" w:type="dxa"/>
            <w:vMerge w:val="continue"/>
            <w:vAlign w:val="center"/>
          </w:tcPr>
          <w:p>
            <w:pPr>
              <w:spacing w:line="300" w:lineRule="exact"/>
              <w:jc w:val="center"/>
              <w:rPr>
                <w:rFonts w:cs="宋体"/>
              </w:rPr>
            </w:pPr>
          </w:p>
        </w:tc>
        <w:tc>
          <w:tcPr>
            <w:tcW w:w="1992" w:type="dxa"/>
            <w:vAlign w:val="center"/>
          </w:tcPr>
          <w:p>
            <w:pPr>
              <w:spacing w:line="300" w:lineRule="exact"/>
              <w:jc w:val="center"/>
              <w:rPr>
                <w:rFonts w:cs="宋体"/>
              </w:rPr>
            </w:pPr>
            <w:r>
              <w:rPr>
                <w:rFonts w:cs="宋体"/>
              </w:rPr>
              <w:t>县公安局、</w:t>
            </w:r>
            <w:r>
              <w:rPr>
                <w:rFonts w:hint="eastAsia" w:cs="宋体"/>
              </w:rPr>
              <w:t>市生态环境局岱山分局</w:t>
            </w:r>
          </w:p>
        </w:tc>
        <w:tc>
          <w:tcPr>
            <w:tcW w:w="1874" w:type="dxa"/>
            <w:vAlign w:val="center"/>
          </w:tcPr>
          <w:p>
            <w:pPr>
              <w:spacing w:line="300" w:lineRule="exact"/>
              <w:jc w:val="center"/>
              <w:rPr>
                <w:rFonts w:cs="宋体"/>
              </w:rPr>
            </w:pPr>
          </w:p>
        </w:tc>
        <w:tc>
          <w:tcPr>
            <w:tcW w:w="2462" w:type="dxa"/>
            <w:vAlign w:val="center"/>
          </w:tcPr>
          <w:p>
            <w:pPr>
              <w:spacing w:line="300" w:lineRule="exact"/>
              <w:jc w:val="center"/>
              <w:rPr>
                <w:rFonts w:cs="宋体"/>
              </w:rPr>
            </w:pPr>
            <w:r>
              <w:rPr>
                <w:rFonts w:cs="宋体"/>
              </w:rPr>
              <w:t>20</w:t>
            </w:r>
            <w:r>
              <w:rPr>
                <w:rFonts w:hint="eastAsia" w:cs="宋体"/>
              </w:rPr>
              <w:t>22年</w:t>
            </w:r>
            <w:r>
              <w:rPr>
                <w:rFonts w:cs="宋体"/>
              </w:rPr>
              <w:t>1</w:t>
            </w:r>
            <w:r>
              <w:rPr>
                <w:rFonts w:hint="eastAsia" w:cs="宋体"/>
              </w:rPr>
              <w:t>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5729" w:type="dxa"/>
            <w:vAlign w:val="center"/>
          </w:tcPr>
          <w:p>
            <w:pPr>
              <w:spacing w:line="300" w:lineRule="exact"/>
              <w:rPr>
                <w:rFonts w:cs="宋体"/>
              </w:rPr>
            </w:pPr>
            <w:r>
              <w:rPr>
                <w:rFonts w:hint="eastAsia" w:cs="宋体"/>
              </w:rPr>
              <w:t>20．对现有广场舞团纳进行规范化管理，与各舞团负责人签订《广场舞文明公约》，实行统一监管，源头管理，掌握人数、地点等详细信息，并实时更新数据。</w:t>
            </w:r>
          </w:p>
        </w:tc>
        <w:tc>
          <w:tcPr>
            <w:tcW w:w="1911" w:type="dxa"/>
            <w:vMerge w:val="continue"/>
            <w:vAlign w:val="center"/>
          </w:tcPr>
          <w:p>
            <w:pPr>
              <w:spacing w:line="300" w:lineRule="exact"/>
              <w:jc w:val="center"/>
              <w:rPr>
                <w:rFonts w:cs="宋体"/>
              </w:rPr>
            </w:pPr>
          </w:p>
        </w:tc>
        <w:tc>
          <w:tcPr>
            <w:tcW w:w="1992" w:type="dxa"/>
            <w:vAlign w:val="center"/>
          </w:tcPr>
          <w:p>
            <w:pPr>
              <w:spacing w:line="300" w:lineRule="exact"/>
              <w:jc w:val="center"/>
              <w:rPr>
                <w:rFonts w:cs="宋体"/>
              </w:rPr>
            </w:pPr>
            <w:r>
              <w:rPr>
                <w:rFonts w:cs="宋体"/>
              </w:rPr>
              <w:t>县文旅局</w:t>
            </w:r>
          </w:p>
        </w:tc>
        <w:tc>
          <w:tcPr>
            <w:tcW w:w="1874" w:type="dxa"/>
            <w:vAlign w:val="center"/>
          </w:tcPr>
          <w:p>
            <w:pPr>
              <w:spacing w:line="300" w:lineRule="exact"/>
              <w:jc w:val="center"/>
              <w:rPr>
                <w:rFonts w:cs="宋体"/>
              </w:rPr>
            </w:pPr>
            <w:r>
              <w:rPr>
                <w:rFonts w:cs="宋体"/>
              </w:rPr>
              <w:t>高亭镇</w:t>
            </w:r>
          </w:p>
        </w:tc>
        <w:tc>
          <w:tcPr>
            <w:tcW w:w="2462" w:type="dxa"/>
            <w:vAlign w:val="center"/>
          </w:tcPr>
          <w:p>
            <w:pPr>
              <w:spacing w:line="300" w:lineRule="exact"/>
              <w:jc w:val="center"/>
              <w:rPr>
                <w:rFonts w:cs="宋体"/>
              </w:rPr>
            </w:pPr>
            <w:r>
              <w:rPr>
                <w:rFonts w:cs="宋体"/>
              </w:rPr>
              <w:t>20</w:t>
            </w:r>
            <w:r>
              <w:rPr>
                <w:rFonts w:hint="eastAsia" w:cs="宋体"/>
              </w:rPr>
              <w:t>22年</w:t>
            </w:r>
            <w:r>
              <w:rPr>
                <w:rFonts w:cs="宋体"/>
              </w:rPr>
              <w:t>1</w:t>
            </w:r>
            <w:r>
              <w:rPr>
                <w:rFonts w:hint="eastAsia" w:cs="宋体"/>
              </w:rPr>
              <w:t>1月底</w:t>
            </w:r>
          </w:p>
        </w:tc>
      </w:tr>
    </w:tbl>
    <w:p>
      <w:pPr>
        <w:autoSpaceDE w:val="0"/>
        <w:autoSpaceDN w:val="0"/>
        <w:adjustRightInd w:val="0"/>
        <w:jc w:val="left"/>
        <w:rPr>
          <w:rFonts w:ascii="仿宋_GB2312" w:eastAsia="仿宋_GB2312" w:cs="仿宋_GB2312"/>
          <w:kern w:val="0"/>
          <w:sz w:val="32"/>
          <w:szCs w:val="32"/>
        </w:rPr>
        <w:sectPr>
          <w:pgSz w:w="16838" w:h="11906" w:orient="landscape"/>
          <w:pgMar w:top="1800" w:right="1440" w:bottom="1800" w:left="1440" w:header="851" w:footer="992" w:gutter="0"/>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附件2</w:t>
      </w:r>
    </w:p>
    <w:p>
      <w:pPr>
        <w:spacing w:line="560" w:lineRule="exact"/>
        <w:ind w:firstLine="880" w:firstLineChars="200"/>
        <w:jc w:val="center"/>
        <w:rPr>
          <w:rFonts w:ascii="方正小标宋简体" w:eastAsia="方正小标宋简体"/>
          <w:sz w:val="44"/>
          <w:szCs w:val="44"/>
        </w:rPr>
      </w:pPr>
      <w:r>
        <w:rPr>
          <w:rFonts w:hint="eastAsia" w:ascii="方正小标宋简体" w:eastAsia="方正小标宋简体"/>
          <w:sz w:val="44"/>
          <w:szCs w:val="44"/>
        </w:rPr>
        <w:t>岱山县2022年精品示范街（路）建设行动实施方案</w:t>
      </w:r>
    </w:p>
    <w:p>
      <w:pPr>
        <w:spacing w:line="560" w:lineRule="exact"/>
        <w:ind w:firstLine="640" w:firstLineChars="200"/>
        <w:jc w:val="center"/>
        <w:rPr>
          <w:rFonts w:ascii="仿宋_GB2312" w:eastAsia="仿宋_GB2312"/>
          <w:sz w:val="32"/>
          <w:szCs w:val="32"/>
        </w:rPr>
      </w:pPr>
      <w:r>
        <w:rPr>
          <w:rFonts w:hint="eastAsia" w:ascii="仿宋_GB2312" w:eastAsia="仿宋_GB2312"/>
          <w:sz w:val="32"/>
          <w:szCs w:val="32"/>
        </w:rPr>
        <w:t>为进一步提升我县城区面貌，提高人居环境质量，2022年继续开展“精品示范街（路）”建设行动，实施方案如下：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一、建设目标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根据《岱山县2022年城乡环境综合整治提升行动实施方案》，推进1条</w:t>
      </w:r>
      <w:r>
        <w:rPr>
          <w:rFonts w:hint="eastAsia" w:eastAsia="仿宋_GB2312"/>
          <w:sz w:val="32"/>
          <w:szCs w:val="32"/>
        </w:rPr>
        <w:t>道路的</w:t>
      </w:r>
      <w:r>
        <w:rPr>
          <w:rFonts w:eastAsia="仿宋_GB2312"/>
          <w:sz w:val="32"/>
          <w:szCs w:val="32"/>
        </w:rPr>
        <w:t>提升</w:t>
      </w:r>
      <w:r>
        <w:rPr>
          <w:rFonts w:hint="eastAsia" w:eastAsia="仿宋_GB2312"/>
          <w:sz w:val="32"/>
          <w:szCs w:val="32"/>
        </w:rPr>
        <w:t>改造工作，</w:t>
      </w:r>
      <w:r>
        <w:rPr>
          <w:rFonts w:hint="eastAsia" w:ascii="仿宋_GB2312" w:eastAsia="仿宋_GB2312"/>
          <w:sz w:val="32"/>
          <w:szCs w:val="32"/>
        </w:rPr>
        <w:t>整体改造提升路段路面、建筑立面、市政设施、园林绿化、城市家具、店招店牌、杆线箱、隔离栏、路牌标识、停车泊位等。同时落实环境秩序、环卫保洁、市政绿化养护等日常管理措施。到12月底，在全县新增建设1条街（路）平整、美观，沿街（路）立面整洁、协调，绿化景观精致、美丽，城市家具干净、新颖，店招店牌规范、有特色，杆线箱减量整合，路牌标识统一、规范，空调机位合理设置、不外露、各种排水接入管道，防盗窗内置、不超出建筑立面，停车位有保障，整体视觉舒畅的“精品示范街（路）”。</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二、建设重点</w:t>
      </w:r>
    </w:p>
    <w:p>
      <w:pPr>
        <w:spacing w:line="560" w:lineRule="exact"/>
        <w:ind w:firstLine="640" w:firstLineChars="200"/>
        <w:rPr>
          <w:rFonts w:eastAsia="仿宋_GB2312"/>
          <w:sz w:val="32"/>
          <w:szCs w:val="32"/>
        </w:rPr>
      </w:pPr>
      <w:r>
        <w:rPr>
          <w:rFonts w:hint="eastAsia" w:eastAsia="仿宋_GB2312"/>
          <w:sz w:val="32"/>
          <w:szCs w:val="32"/>
        </w:rPr>
        <w:t>共1</w:t>
      </w:r>
      <w:r>
        <w:rPr>
          <w:rFonts w:eastAsia="仿宋_GB2312"/>
          <w:sz w:val="32"/>
          <w:szCs w:val="32"/>
        </w:rPr>
        <w:t>条：衢山</w:t>
      </w:r>
      <w:r>
        <w:rPr>
          <w:rFonts w:eastAsia="仿宋_GB2312"/>
          <w:sz w:val="32"/>
        </w:rPr>
        <w:t>大道（</w:t>
      </w:r>
      <w:r>
        <w:rPr>
          <w:rFonts w:hint="eastAsia" w:eastAsia="仿宋_GB2312"/>
          <w:sz w:val="32"/>
        </w:rPr>
        <w:t>飞舟路</w:t>
      </w:r>
      <w:r>
        <w:rPr>
          <w:rFonts w:eastAsia="仿宋_GB2312"/>
          <w:sz w:val="32"/>
        </w:rPr>
        <w:t>-</w:t>
      </w:r>
      <w:r>
        <w:rPr>
          <w:rFonts w:hint="eastAsia" w:eastAsia="仿宋_GB2312"/>
          <w:sz w:val="32"/>
        </w:rPr>
        <w:t>星河路</w:t>
      </w:r>
      <w:r>
        <w:rPr>
          <w:rFonts w:eastAsia="仿宋_GB2312"/>
          <w:sz w:val="32"/>
        </w:rPr>
        <w:t>）在</w:t>
      </w:r>
      <w:r>
        <w:rPr>
          <w:rFonts w:hint="eastAsia" w:eastAsia="仿宋_GB2312"/>
          <w:sz w:val="32"/>
        </w:rPr>
        <w:t>5月</w:t>
      </w:r>
      <w:r>
        <w:rPr>
          <w:rFonts w:eastAsia="仿宋_GB2312"/>
          <w:sz w:val="32"/>
        </w:rPr>
        <w:t>底完成工程量的</w:t>
      </w:r>
      <w:r>
        <w:rPr>
          <w:rFonts w:hint="eastAsia" w:eastAsia="仿宋_GB2312"/>
          <w:sz w:val="32"/>
        </w:rPr>
        <w:t>100%</w:t>
      </w:r>
      <w:r>
        <w:rPr>
          <w:rFonts w:eastAsia="仿宋_GB2312"/>
          <w:sz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三、内容及标准</w:t>
      </w:r>
    </w:p>
    <w:p>
      <w:pPr>
        <w:spacing w:line="560" w:lineRule="exact"/>
        <w:ind w:firstLine="640" w:firstLineChars="200"/>
        <w:rPr>
          <w:rFonts w:eastAsia="仿宋_GB2312"/>
          <w:sz w:val="32"/>
          <w:szCs w:val="32"/>
        </w:rPr>
      </w:pPr>
      <w:r>
        <w:rPr>
          <w:rFonts w:eastAsia="仿宋_GB2312"/>
          <w:sz w:val="32"/>
          <w:szCs w:val="32"/>
        </w:rPr>
        <w:t>参照2017年《舟山市精品示范街创建标准》（舟城治办〔2017〕6号），对确定的路段进行全方位改造提升，落实长效管理机制。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（一）建设内容及标准</w:t>
      </w:r>
    </w:p>
    <w:p>
      <w:pPr>
        <w:spacing w:line="560" w:lineRule="exact"/>
        <w:ind w:firstLine="640" w:firstLineChars="200"/>
        <w:rPr>
          <w:rFonts w:eastAsia="仿宋_GB2312"/>
          <w:sz w:val="32"/>
          <w:szCs w:val="32"/>
        </w:rPr>
      </w:pPr>
      <w:r>
        <w:rPr>
          <w:rFonts w:eastAsia="仿宋_GB2312"/>
          <w:b/>
          <w:bCs/>
          <w:sz w:val="32"/>
          <w:szCs w:val="32"/>
        </w:rPr>
        <w:t>1、街（路）面改造提升。</w:t>
      </w:r>
      <w:r>
        <w:rPr>
          <w:rFonts w:eastAsia="仿宋_GB2312"/>
          <w:sz w:val="32"/>
          <w:szCs w:val="32"/>
        </w:rPr>
        <w:t>全面改造提升街（路）面环境（包括机动车道、非机动车道、人行道、各种窨井盖等，下同），做到街（路）面平整美观、通行顺畅，侧石整齐一致，停车泊位（包括机动车、非机动车，下同）合理设置，停泊方便。</w:t>
      </w:r>
    </w:p>
    <w:p>
      <w:pPr>
        <w:spacing w:line="560" w:lineRule="exact"/>
        <w:ind w:firstLine="640" w:firstLineChars="200"/>
        <w:rPr>
          <w:rFonts w:eastAsia="仿宋_GB2312"/>
          <w:b/>
          <w:bCs/>
          <w:sz w:val="32"/>
          <w:szCs w:val="32"/>
        </w:rPr>
      </w:pPr>
      <w:r>
        <w:rPr>
          <w:rFonts w:eastAsia="仿宋_GB2312"/>
          <w:b/>
          <w:bCs/>
          <w:sz w:val="32"/>
          <w:szCs w:val="32"/>
        </w:rPr>
        <w:t>2、绿化景观改造提升。</w:t>
      </w:r>
      <w:r>
        <w:rPr>
          <w:rFonts w:eastAsia="仿宋_GB2312"/>
          <w:sz w:val="32"/>
          <w:szCs w:val="32"/>
        </w:rPr>
        <w:t>全面改造提升绿化景观，做到精致靓丽、环境宜人。</w:t>
      </w:r>
    </w:p>
    <w:p>
      <w:pPr>
        <w:spacing w:line="560" w:lineRule="exact"/>
        <w:ind w:firstLine="640" w:firstLineChars="200"/>
        <w:rPr>
          <w:rFonts w:eastAsia="仿宋_GB2312"/>
          <w:sz w:val="32"/>
          <w:szCs w:val="32"/>
        </w:rPr>
      </w:pPr>
      <w:r>
        <w:rPr>
          <w:rFonts w:hint="eastAsia" w:eastAsia="仿宋_GB2312"/>
          <w:b/>
          <w:bCs/>
          <w:sz w:val="32"/>
          <w:szCs w:val="32"/>
        </w:rPr>
        <w:t>3</w:t>
      </w:r>
      <w:r>
        <w:rPr>
          <w:rFonts w:eastAsia="仿宋_GB2312"/>
          <w:b/>
          <w:bCs/>
          <w:sz w:val="32"/>
          <w:szCs w:val="32"/>
        </w:rPr>
        <w:t>、城市家具改造提升。</w:t>
      </w:r>
      <w:r>
        <w:rPr>
          <w:rFonts w:eastAsia="仿宋_GB2312"/>
          <w:sz w:val="32"/>
          <w:szCs w:val="32"/>
        </w:rPr>
        <w:t>全面提升改造城市家具（包括书报亭、果壳箱、候车亭、阅报栏等，下同），做到规范设置、品质提升。</w:t>
      </w:r>
    </w:p>
    <w:p>
      <w:pPr>
        <w:spacing w:line="560" w:lineRule="exact"/>
        <w:ind w:firstLine="640" w:firstLineChars="200"/>
        <w:rPr>
          <w:rFonts w:eastAsia="仿宋_GB2312"/>
          <w:sz w:val="32"/>
          <w:szCs w:val="32"/>
        </w:rPr>
      </w:pPr>
      <w:r>
        <w:rPr>
          <w:rFonts w:hint="eastAsia" w:eastAsia="仿宋_GB2312"/>
          <w:b/>
          <w:bCs/>
          <w:sz w:val="32"/>
          <w:szCs w:val="32"/>
        </w:rPr>
        <w:t>4</w:t>
      </w:r>
      <w:r>
        <w:rPr>
          <w:rFonts w:eastAsia="仿宋_GB2312"/>
          <w:b/>
          <w:bCs/>
          <w:sz w:val="32"/>
          <w:szCs w:val="32"/>
        </w:rPr>
        <w:t>、杆线箱及路牌标识改造提升。</w:t>
      </w:r>
      <w:r>
        <w:rPr>
          <w:rFonts w:eastAsia="仿宋_GB2312"/>
          <w:sz w:val="32"/>
          <w:szCs w:val="32"/>
        </w:rPr>
        <w:t>全面改造提升杆线箱及各种指路指示牌，做到合理归并，规范减量设置。</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（二）管理内容及标准</w:t>
      </w:r>
    </w:p>
    <w:p>
      <w:pPr>
        <w:spacing w:line="560" w:lineRule="exact"/>
        <w:ind w:firstLine="640" w:firstLineChars="200"/>
        <w:rPr>
          <w:rFonts w:eastAsia="仿宋_GB2312"/>
          <w:sz w:val="32"/>
          <w:szCs w:val="32"/>
        </w:rPr>
      </w:pPr>
      <w:r>
        <w:rPr>
          <w:rFonts w:eastAsia="仿宋_GB2312"/>
          <w:b/>
          <w:bCs/>
          <w:sz w:val="32"/>
          <w:szCs w:val="32"/>
        </w:rPr>
        <w:t>1、卫生保洁到位。</w:t>
      </w:r>
      <w:r>
        <w:rPr>
          <w:rFonts w:eastAsia="仿宋_GB2312"/>
          <w:sz w:val="32"/>
          <w:szCs w:val="32"/>
        </w:rPr>
        <w:t>垃圾清扫清运及时，街（路）面及绿化带无垃圾堆积或撒落，无积水；城市家具无污</w:t>
      </w:r>
      <w:r>
        <w:rPr>
          <w:rFonts w:eastAsia="仿宋_GB2312"/>
          <w:color w:val="FF0000"/>
          <w:sz w:val="32"/>
          <w:szCs w:val="32"/>
        </w:rPr>
        <w:t>浊</w:t>
      </w:r>
      <w:r>
        <w:rPr>
          <w:rFonts w:eastAsia="仿宋_GB2312"/>
          <w:color w:val="000000"/>
          <w:sz w:val="32"/>
          <w:szCs w:val="32"/>
        </w:rPr>
        <w:t>积</w:t>
      </w:r>
      <w:r>
        <w:rPr>
          <w:rFonts w:eastAsia="仿宋_GB2312"/>
          <w:sz w:val="32"/>
          <w:szCs w:val="32"/>
        </w:rPr>
        <w:t>尘。</w:t>
      </w:r>
    </w:p>
    <w:p>
      <w:pPr>
        <w:spacing w:line="560" w:lineRule="exact"/>
        <w:ind w:firstLine="640" w:firstLineChars="200"/>
        <w:rPr>
          <w:rFonts w:eastAsia="仿宋_GB2312"/>
          <w:sz w:val="32"/>
          <w:szCs w:val="32"/>
        </w:rPr>
      </w:pPr>
      <w:r>
        <w:rPr>
          <w:rFonts w:eastAsia="仿宋_GB2312"/>
          <w:b/>
          <w:bCs/>
          <w:sz w:val="32"/>
          <w:szCs w:val="32"/>
        </w:rPr>
        <w:t>2、绿化养护到位。</w:t>
      </w:r>
      <w:r>
        <w:rPr>
          <w:rFonts w:eastAsia="仿宋_GB2312"/>
          <w:sz w:val="32"/>
          <w:szCs w:val="32"/>
        </w:rPr>
        <w:t>及时修剪补种绿化，无死株、缺株，无草坪裸露。</w:t>
      </w:r>
    </w:p>
    <w:p>
      <w:pPr>
        <w:spacing w:line="560" w:lineRule="exact"/>
        <w:ind w:firstLine="640" w:firstLineChars="200"/>
        <w:rPr>
          <w:rFonts w:eastAsia="仿宋_GB2312"/>
          <w:sz w:val="32"/>
          <w:szCs w:val="32"/>
        </w:rPr>
      </w:pPr>
      <w:r>
        <w:rPr>
          <w:rFonts w:eastAsia="仿宋_GB2312"/>
          <w:b/>
          <w:bCs/>
          <w:sz w:val="32"/>
          <w:szCs w:val="32"/>
        </w:rPr>
        <w:t>3、市政维护到位。</w:t>
      </w:r>
      <w:r>
        <w:rPr>
          <w:rFonts w:eastAsia="仿宋_GB2312"/>
          <w:sz w:val="32"/>
          <w:szCs w:val="32"/>
        </w:rPr>
        <w:t>及时修复街（路）面不平、破损以及城市家具损毁等问题，保持各种市政设施完美、性能良好。</w:t>
      </w:r>
    </w:p>
    <w:p>
      <w:pPr>
        <w:spacing w:line="560" w:lineRule="exact"/>
        <w:ind w:firstLine="640" w:firstLineChars="200"/>
        <w:rPr>
          <w:rFonts w:eastAsia="仿宋_GB2312"/>
          <w:sz w:val="32"/>
          <w:szCs w:val="32"/>
        </w:rPr>
      </w:pPr>
      <w:r>
        <w:rPr>
          <w:rFonts w:eastAsia="仿宋_GB2312"/>
          <w:b/>
          <w:bCs/>
          <w:sz w:val="32"/>
          <w:szCs w:val="32"/>
        </w:rPr>
        <w:t>4、市容管理到位。</w:t>
      </w:r>
      <w:r>
        <w:rPr>
          <w:rFonts w:eastAsia="仿宋_GB2312"/>
          <w:sz w:val="32"/>
          <w:szCs w:val="32"/>
        </w:rPr>
        <w:t>实行“路长制”责任机制，落实长效管理措施。</w:t>
      </w:r>
    </w:p>
    <w:p>
      <w:pPr>
        <w:spacing w:line="560" w:lineRule="exact"/>
        <w:ind w:firstLine="640" w:firstLineChars="200"/>
        <w:rPr>
          <w:rFonts w:eastAsia="仿宋_GB2312"/>
          <w:sz w:val="32"/>
          <w:szCs w:val="32"/>
        </w:rPr>
      </w:pPr>
      <w:r>
        <w:rPr>
          <w:rFonts w:eastAsia="仿宋_GB2312"/>
          <w:sz w:val="32"/>
          <w:szCs w:val="32"/>
        </w:rPr>
        <w:t>（1）加强店招店牌管理，依法审批，按标准设置，及时查处非法设置、陈旧破损的店招店牌。</w:t>
      </w:r>
    </w:p>
    <w:p>
      <w:pPr>
        <w:spacing w:line="560" w:lineRule="exact"/>
        <w:ind w:firstLine="640" w:firstLineChars="200"/>
        <w:rPr>
          <w:rFonts w:eastAsia="仿宋_GB2312"/>
          <w:sz w:val="32"/>
          <w:szCs w:val="32"/>
        </w:rPr>
      </w:pPr>
      <w:r>
        <w:rPr>
          <w:rFonts w:eastAsia="仿宋_GB2312"/>
          <w:sz w:val="32"/>
          <w:szCs w:val="32"/>
        </w:rPr>
        <w:t>（2）加强建筑立面管理。保持沿街建筑立面美观协调，及时查处非法搭建、空调外机外露、乱拉管线、乱排水滴水等行为。</w:t>
      </w:r>
    </w:p>
    <w:p>
      <w:pPr>
        <w:spacing w:line="560" w:lineRule="exact"/>
        <w:ind w:firstLine="640" w:firstLineChars="200"/>
        <w:rPr>
          <w:rFonts w:eastAsia="仿宋_GB2312"/>
          <w:sz w:val="32"/>
          <w:szCs w:val="32"/>
        </w:rPr>
      </w:pPr>
      <w:r>
        <w:rPr>
          <w:rFonts w:eastAsia="仿宋_GB2312"/>
          <w:sz w:val="32"/>
          <w:szCs w:val="32"/>
        </w:rPr>
        <w:t>（3）加强店面管理，保持店面干净整洁，无乱涂乱画、乱贴乱挂，无跨门、占道经营、堆物，无乱扔垃圾、乱倒污水。</w:t>
      </w:r>
    </w:p>
    <w:p>
      <w:pPr>
        <w:spacing w:line="560" w:lineRule="exact"/>
        <w:ind w:firstLine="640" w:firstLineChars="200"/>
        <w:rPr>
          <w:rFonts w:eastAsia="仿宋_GB2312"/>
          <w:sz w:val="32"/>
          <w:szCs w:val="32"/>
        </w:rPr>
      </w:pPr>
      <w:r>
        <w:rPr>
          <w:rFonts w:eastAsia="仿宋_GB2312"/>
          <w:sz w:val="32"/>
          <w:szCs w:val="32"/>
        </w:rPr>
        <w:t>（4）加强街（路）面管理。保持街（路）面整齐井然良好秩序，及时查处流动摊、乱停车等行为。</w:t>
      </w:r>
    </w:p>
    <w:p>
      <w:pPr>
        <w:spacing w:line="560" w:lineRule="exact"/>
        <w:ind w:firstLine="640" w:firstLineChars="200"/>
        <w:rPr>
          <w:rFonts w:eastAsia="仿宋_GB2312"/>
          <w:sz w:val="32"/>
          <w:szCs w:val="32"/>
        </w:rPr>
      </w:pPr>
      <w:r>
        <w:rPr>
          <w:rFonts w:eastAsia="仿宋_GB2312"/>
          <w:sz w:val="32"/>
          <w:szCs w:val="32"/>
        </w:rPr>
        <w:t>（5）加强亮化管理。保持各种亮化设施完好，及时查处亮化设施脱落、缺损、毁坏等问题。</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四、实施步骤</w:t>
      </w:r>
    </w:p>
    <w:p>
      <w:pPr>
        <w:adjustRightInd w:val="0"/>
        <w:snapToGrid w:val="0"/>
        <w:spacing w:line="560" w:lineRule="exact"/>
        <w:ind w:firstLine="640" w:firstLineChars="200"/>
        <w:rPr>
          <w:rFonts w:eastAsia="仿宋_GB2312"/>
          <w:sz w:val="32"/>
          <w:szCs w:val="32"/>
        </w:rPr>
      </w:pPr>
      <w:r>
        <w:rPr>
          <w:rFonts w:eastAsia="仿宋_GB2312"/>
          <w:sz w:val="32"/>
          <w:szCs w:val="32"/>
        </w:rPr>
        <w:t>“精品示范街（路）”建设行动由县住建局牵头，县综合行政执法局、县安澜城投集团根据各自职能配合开展。具体分为三个阶段进行。</w:t>
      </w:r>
    </w:p>
    <w:p>
      <w:pPr>
        <w:widowControl/>
        <w:adjustRightInd w:val="0"/>
        <w:snapToGrid w:val="0"/>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（二）施工建设阶段（3月-5月底）。</w:t>
      </w:r>
    </w:p>
    <w:p>
      <w:pPr>
        <w:widowControl/>
        <w:adjustRightInd w:val="0"/>
        <w:snapToGrid w:val="0"/>
        <w:spacing w:line="560" w:lineRule="exact"/>
        <w:ind w:firstLine="640" w:firstLineChars="200"/>
        <w:rPr>
          <w:rFonts w:eastAsia="仿宋_GB2312"/>
          <w:sz w:val="32"/>
          <w:szCs w:val="32"/>
        </w:rPr>
      </w:pPr>
      <w:r>
        <w:rPr>
          <w:rFonts w:eastAsia="仿宋_GB2312"/>
          <w:sz w:val="32"/>
          <w:szCs w:val="32"/>
        </w:rPr>
        <w:t>按照确定的工作方案，全面展开“精品示范街（路）”建设工作。施工过程中，做好施工组织和现场管理，注重安全施工，做好事故隐患排查，认真解决施工安全管理上存在的漏洞和薄弱环节，从源头上防控安全事故发生。</w:t>
      </w:r>
    </w:p>
    <w:p>
      <w:pPr>
        <w:widowControl/>
        <w:adjustRightInd w:val="0"/>
        <w:snapToGrid w:val="0"/>
        <w:spacing w:line="560" w:lineRule="exact"/>
        <w:ind w:firstLine="640" w:firstLineChars="200"/>
        <w:rPr>
          <w:rFonts w:eastAsia="仿宋_GB2312"/>
          <w:bCs/>
          <w:sz w:val="32"/>
          <w:szCs w:val="32"/>
        </w:rPr>
      </w:pPr>
      <w:r>
        <w:rPr>
          <w:rFonts w:hint="eastAsia" w:ascii="楷体_GB2312" w:hAnsi="楷体_GB2312" w:eastAsia="楷体_GB2312" w:cs="楷体_GB2312"/>
          <w:bCs/>
          <w:sz w:val="32"/>
          <w:szCs w:val="32"/>
        </w:rPr>
        <w:t>（一）常态管理阶段（6月-11月底）。</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要采取多种形式对“精品示范街（路）”建设行动进行全方位宣传，营造良好舆论氛围，获得群众和商家的理解支持、发动市民参与建设行动。</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2、对该路段的非机动车数量进行摸排分析，结合实际，新增设置电瓶车充电</w:t>
      </w:r>
      <w:r>
        <w:rPr>
          <w:rFonts w:eastAsia="仿宋_GB2312"/>
          <w:sz w:val="32"/>
          <w:szCs w:val="32"/>
        </w:rPr>
        <w:t>桩。</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3、督促商户落实“门前四包”工作机制，严厉查处市容相关违法行为，重点提升该路段周边的停车秩序。</w:t>
      </w:r>
    </w:p>
    <w:p>
      <w:pPr>
        <w:widowControl/>
        <w:adjustRightInd w:val="0"/>
        <w:snapToGrid w:val="0"/>
        <w:spacing w:line="56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（三）自查验收阶段（12月中旬）。</w:t>
      </w:r>
    </w:p>
    <w:p>
      <w:pPr>
        <w:adjustRightInd w:val="0"/>
        <w:snapToGrid w:val="0"/>
        <w:spacing w:line="560" w:lineRule="exact"/>
        <w:ind w:firstLine="640" w:firstLineChars="200"/>
        <w:rPr>
          <w:rFonts w:eastAsia="仿宋_GB2312"/>
          <w:sz w:val="32"/>
          <w:szCs w:val="32"/>
        </w:rPr>
      </w:pPr>
      <w:r>
        <w:rPr>
          <w:rFonts w:eastAsia="仿宋_GB2312"/>
          <w:sz w:val="32"/>
          <w:szCs w:val="32"/>
        </w:rPr>
        <w:t>对建设完成的路段，落实人员，加强日常管理，建立健全长效管理机制，防止市容环境问题反弹。县整治办组织相关人员进行考核检查。</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五、工作要求</w:t>
      </w:r>
    </w:p>
    <w:p>
      <w:pPr>
        <w:spacing w:line="560" w:lineRule="exact"/>
        <w:ind w:firstLine="640" w:firstLineChars="200"/>
        <w:rPr>
          <w:rFonts w:eastAsia="仿宋_GB2312"/>
          <w:sz w:val="32"/>
          <w:szCs w:val="32"/>
        </w:rPr>
      </w:pPr>
      <w:r>
        <w:rPr>
          <w:rFonts w:hint="eastAsia" w:ascii="楷体_GB2312" w:hAnsi="楷体_GB2312" w:eastAsia="楷体_GB2312" w:cs="楷体_GB2312"/>
          <w:bCs/>
          <w:sz w:val="32"/>
          <w:szCs w:val="32"/>
        </w:rPr>
        <w:t>（一）抓好质量。</w:t>
      </w:r>
      <w:r>
        <w:rPr>
          <w:rFonts w:eastAsia="仿宋_GB2312"/>
          <w:sz w:val="32"/>
          <w:szCs w:val="32"/>
        </w:rPr>
        <w:t>“精品示范街”建设是快速提高城区面貌的一项重要举措，在摸底设计阶段，要按照建设标准尽全面的排查存在问题，</w:t>
      </w:r>
      <w:r>
        <w:rPr>
          <w:rFonts w:hint="eastAsia" w:eastAsia="仿宋_GB2312"/>
          <w:sz w:val="32"/>
          <w:szCs w:val="32"/>
        </w:rPr>
        <w:t>编制规划设计方案</w:t>
      </w:r>
      <w:r>
        <w:rPr>
          <w:rFonts w:eastAsia="仿宋_GB2312"/>
          <w:sz w:val="32"/>
          <w:szCs w:val="32"/>
        </w:rPr>
        <w:t>。实施过程中，要按照建设规划、实施方案严把质量关，切实突出街（路）的示范效果。</w:t>
      </w:r>
    </w:p>
    <w:p>
      <w:pPr>
        <w:spacing w:line="560" w:lineRule="exact"/>
        <w:ind w:firstLine="640" w:firstLineChars="200"/>
        <w:rPr>
          <w:rFonts w:eastAsia="仿宋_GB2312"/>
          <w:sz w:val="32"/>
          <w:szCs w:val="32"/>
        </w:rPr>
      </w:pPr>
      <w:r>
        <w:rPr>
          <w:rFonts w:hint="eastAsia" w:ascii="楷体_GB2312" w:hAnsi="楷体_GB2312" w:eastAsia="楷体_GB2312" w:cs="楷体_GB2312"/>
          <w:sz w:val="32"/>
          <w:szCs w:val="32"/>
        </w:rPr>
        <w:t>（二）抓好进度。</w:t>
      </w:r>
      <w:r>
        <w:rPr>
          <w:rFonts w:eastAsia="仿宋_GB2312"/>
          <w:sz w:val="32"/>
          <w:szCs w:val="32"/>
        </w:rPr>
        <w:t>要根据目标任务，明确每月工作进度，并严格按时间节点抓好落实，切忌出现虎头蛇尾，进度滞后，标准降低的现象。</w:t>
      </w:r>
    </w:p>
    <w:p>
      <w:pPr>
        <w:spacing w:line="560" w:lineRule="exact"/>
        <w:ind w:firstLine="640" w:firstLineChars="200"/>
        <w:rPr>
          <w:rFonts w:eastAsia="仿宋_GB2312"/>
          <w:sz w:val="32"/>
          <w:szCs w:val="32"/>
        </w:rPr>
      </w:pPr>
      <w:r>
        <w:rPr>
          <w:rFonts w:hint="eastAsia" w:ascii="楷体_GB2312" w:hAnsi="楷体_GB2312" w:eastAsia="楷体_GB2312" w:cs="楷体_GB2312"/>
          <w:sz w:val="32"/>
          <w:szCs w:val="32"/>
        </w:rPr>
        <w:t>（三）抓好管理。</w:t>
      </w:r>
      <w:r>
        <w:rPr>
          <w:rFonts w:eastAsia="仿宋_GB2312"/>
          <w:sz w:val="32"/>
          <w:szCs w:val="32"/>
        </w:rPr>
        <w:t>要建设与管理同步推进，通过管理巩固建设成果，特别针对街（路）中一些容易反弹的市容环境卫生问题，要通过“路长制”责任机制</w:t>
      </w:r>
      <w:r>
        <w:rPr>
          <w:rFonts w:hint="eastAsia" w:eastAsia="仿宋_GB2312"/>
          <w:sz w:val="32"/>
          <w:szCs w:val="32"/>
        </w:rPr>
        <w:t>、城管网格管理</w:t>
      </w:r>
      <w:r>
        <w:rPr>
          <w:rFonts w:eastAsia="仿宋_GB2312"/>
          <w:sz w:val="32"/>
          <w:szCs w:val="32"/>
        </w:rPr>
        <w:t>，明确每一路段、每一事项的具体管理人员，通过部门联动、齐抓共管，落实长效管理措施。</w:t>
      </w:r>
    </w:p>
    <w:p>
      <w:pPr>
        <w:spacing w:line="560" w:lineRule="exact"/>
        <w:ind w:firstLine="640" w:firstLineChars="200"/>
      </w:pPr>
      <w:r>
        <w:rPr>
          <w:rFonts w:hint="eastAsia" w:ascii="楷体_GB2312" w:hAnsi="楷体_GB2312" w:eastAsia="楷体_GB2312" w:cs="楷体_GB2312"/>
          <w:bCs/>
          <w:sz w:val="32"/>
          <w:szCs w:val="32"/>
        </w:rPr>
        <w:t>（四）落实保障。</w:t>
      </w:r>
      <w:r>
        <w:rPr>
          <w:rFonts w:eastAsia="仿宋_GB2312"/>
          <w:sz w:val="32"/>
          <w:szCs w:val="32"/>
        </w:rPr>
        <w:t>要落实建设资金的投入，加强资源整合，确保项目建设顺利推进。对于建设完成的街（路），要在管理人员力量、管理设备上加大投入，提高管理效率。</w:t>
      </w:r>
    </w:p>
    <w:p>
      <w:pPr>
        <w:rPr>
          <w:rFonts w:ascii="黑体" w:hAnsi="黑体" w:eastAsia="黑体"/>
          <w:sz w:val="32"/>
          <w:szCs w:val="32"/>
        </w:rPr>
      </w:pPr>
      <w:r>
        <w:rPr>
          <w:rFonts w:hint="eastAsia" w:ascii="黑体" w:hAnsi="黑体" w:eastAsia="黑体"/>
          <w:sz w:val="32"/>
          <w:szCs w:val="32"/>
        </w:rPr>
        <w:t>附件3</w:t>
      </w:r>
    </w:p>
    <w:p>
      <w:pPr>
        <w:spacing w:line="560" w:lineRule="exact"/>
        <w:ind w:firstLine="880" w:firstLineChars="200"/>
        <w:jc w:val="center"/>
        <w:rPr>
          <w:rFonts w:ascii="仿宋_GB2312" w:eastAsia="仿宋_GB2312"/>
          <w:sz w:val="32"/>
          <w:szCs w:val="32"/>
        </w:rPr>
      </w:pPr>
      <w:r>
        <w:rPr>
          <w:rFonts w:hint="eastAsia" w:ascii="方正小标宋简体" w:eastAsia="方正小标宋简体"/>
          <w:sz w:val="44"/>
          <w:szCs w:val="44"/>
        </w:rPr>
        <w:t>岱山县2022年“席地能坐”保洁区创建行动实施方案</w:t>
      </w:r>
      <w:r>
        <w:rPr>
          <w:rFonts w:hint="eastAsia" w:ascii="方正小标宋简体" w:eastAsia="方正小标宋简体"/>
          <w:sz w:val="44"/>
          <w:szCs w:val="44"/>
        </w:rPr>
        <w:cr/>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为进一步提升城市精细化管理水平，加快创建全国县级文明城市步伐，根据《岱山县2022年城乡环境综合整治提升行动实施方案》以及</w:t>
      </w:r>
      <w:r>
        <w:rPr>
          <w:rFonts w:hint="eastAsia" w:eastAsia="仿宋_GB2312"/>
          <w:sz w:val="32"/>
          <w:szCs w:val="32"/>
        </w:rPr>
        <w:t>《关于要求制定“席地能坐”保洁区“一点一方案”通知》</w:t>
      </w:r>
      <w:r>
        <w:rPr>
          <w:rFonts w:hint="eastAsia" w:ascii="仿宋_GB2312" w:hAnsi="仿宋" w:eastAsia="仿宋_GB2312"/>
          <w:sz w:val="32"/>
          <w:szCs w:val="32"/>
        </w:rPr>
        <w:t>相关要求，制定本实施方案。</w:t>
      </w:r>
    </w:p>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一、工作目标</w:t>
      </w:r>
    </w:p>
    <w:p>
      <w:pPr>
        <w:autoSpaceDE w:val="0"/>
        <w:spacing w:line="560" w:lineRule="exact"/>
        <w:ind w:firstLine="640" w:firstLineChars="200"/>
        <w:rPr>
          <w:rFonts w:ascii="仿宋_GB2312" w:hAnsi="黑体" w:eastAsia="仿宋_GB2312"/>
          <w:sz w:val="32"/>
          <w:szCs w:val="32"/>
        </w:rPr>
      </w:pPr>
      <w:r>
        <w:rPr>
          <w:rFonts w:hint="eastAsia" w:ascii="仿宋_GB2312" w:hAnsi="仿宋" w:eastAsia="仿宋_GB2312"/>
          <w:sz w:val="32"/>
          <w:szCs w:val="32"/>
        </w:rPr>
        <w:t>以公园广场、中心商业区块等公共场所为核心，通过</w:t>
      </w:r>
      <w:r>
        <w:rPr>
          <w:rFonts w:hint="eastAsia" w:ascii="仿宋_GB2312" w:hAnsi="黑体" w:eastAsia="仿宋_GB2312"/>
          <w:sz w:val="32"/>
          <w:szCs w:val="32"/>
        </w:rPr>
        <w:t>优化保洁作业模式，落实责任主体，使之高于文明城市创建、市容环境卫生保洁要求，实现公共区域无死角、路面无积尘、城市家</w:t>
      </w:r>
      <w:r>
        <w:rPr>
          <w:rFonts w:hint="eastAsia" w:ascii="仿宋_GB2312" w:hAnsi="仿宋" w:eastAsia="仿宋_GB2312"/>
          <w:sz w:val="32"/>
          <w:szCs w:val="32"/>
        </w:rPr>
        <w:t>具无污渍、水体清澈无垃圾、道路保洁见本色、绿化绿地见景致。为全县市民新增创建3个“席地能坐”保洁区。同时，对2021年创建成功的5个“席地能坐”保洁区落实常态管理，做好巩固提升。</w:t>
      </w:r>
    </w:p>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二、创建范围</w:t>
      </w:r>
    </w:p>
    <w:p>
      <w:pPr>
        <w:autoSpaceDE w:val="0"/>
        <w:spacing w:line="560" w:lineRule="exact"/>
        <w:ind w:firstLine="640" w:firstLineChars="200"/>
        <w:rPr>
          <w:rFonts w:ascii="仿宋_GB2312" w:hAnsi="微软雅黑" w:eastAsia="仿宋_GB2312" w:cs="微软雅黑"/>
          <w:sz w:val="32"/>
          <w:szCs w:val="32"/>
        </w:rPr>
      </w:pPr>
      <w:r>
        <w:rPr>
          <w:rFonts w:hint="eastAsia" w:ascii="楷体_GB2312" w:hAnsi="黑体" w:eastAsia="楷体_GB2312"/>
          <w:b/>
          <w:bCs/>
          <w:sz w:val="32"/>
          <w:szCs w:val="32"/>
        </w:rPr>
        <w:t>（一）休闲廊道。</w:t>
      </w:r>
      <w:r>
        <w:rPr>
          <w:rFonts w:hint="eastAsia" w:ascii="仿宋_GB2312" w:hAnsi="黑体" w:eastAsia="仿宋_GB2312"/>
          <w:sz w:val="32"/>
          <w:szCs w:val="32"/>
        </w:rPr>
        <w:t>创建休闲廊道保洁区2个，即蓬莱会前休闲廊道、夜经济带休闲角。</w:t>
      </w:r>
    </w:p>
    <w:p>
      <w:pPr>
        <w:autoSpaceDE w:val="0"/>
        <w:spacing w:line="560" w:lineRule="exact"/>
        <w:ind w:firstLine="640" w:firstLineChars="200"/>
        <w:rPr>
          <w:rFonts w:ascii="仿宋_GB2312" w:hAnsi="黑体" w:eastAsia="仿宋_GB2312"/>
          <w:sz w:val="32"/>
          <w:szCs w:val="32"/>
        </w:rPr>
      </w:pPr>
      <w:r>
        <w:rPr>
          <w:rFonts w:hint="eastAsia" w:ascii="楷体_GB2312" w:hAnsi="黑体" w:eastAsia="楷体_GB2312"/>
          <w:b/>
          <w:bCs/>
          <w:sz w:val="32"/>
          <w:szCs w:val="32"/>
        </w:rPr>
        <w:t>（二）客运车站。</w:t>
      </w:r>
      <w:r>
        <w:rPr>
          <w:rFonts w:hint="eastAsia" w:ascii="仿宋_GB2312" w:hAnsi="黑体" w:eastAsia="仿宋_GB2312"/>
          <w:sz w:val="32"/>
          <w:szCs w:val="32"/>
        </w:rPr>
        <w:t>创建客运车站保洁区1个，即岱山县长途客运中心。</w:t>
      </w:r>
    </w:p>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三、创建标准</w:t>
      </w:r>
    </w:p>
    <w:p>
      <w:pPr>
        <w:pStyle w:val="2"/>
        <w:spacing w:line="560" w:lineRule="exact"/>
        <w:ind w:firstLine="640"/>
      </w:pPr>
      <w:r>
        <w:rPr>
          <w:rFonts w:hint="eastAsia" w:ascii="仿宋_GB2312" w:hAnsi="黑体" w:eastAsia="仿宋_GB2312" w:cs="Calibri"/>
          <w:sz w:val="32"/>
          <w:szCs w:val="32"/>
        </w:rPr>
        <w:t>日常保洁工作，具体要参照《舟山市“席地能坐”保洁区养护规范》，总体上达到以下标准。</w:t>
      </w:r>
    </w:p>
    <w:p>
      <w:pPr>
        <w:autoSpaceDE w:val="0"/>
        <w:spacing w:line="560" w:lineRule="exact"/>
        <w:ind w:firstLine="640" w:firstLineChars="200"/>
        <w:rPr>
          <w:rFonts w:ascii="微软雅黑" w:hAnsi="微软雅黑" w:eastAsia="微软雅黑" w:cs="微软雅黑"/>
          <w:sz w:val="32"/>
          <w:szCs w:val="32"/>
        </w:rPr>
      </w:pPr>
      <w:r>
        <w:rPr>
          <w:rFonts w:hint="eastAsia" w:ascii="楷体_GB2312" w:hAnsi="黑体" w:eastAsia="楷体_GB2312"/>
          <w:b/>
          <w:bCs/>
          <w:sz w:val="32"/>
          <w:szCs w:val="32"/>
        </w:rPr>
        <w:t>（一）地面路面深度保洁，达到干净整洁、席地能坐标准。</w:t>
      </w:r>
      <w:r>
        <w:rPr>
          <w:rFonts w:hint="eastAsia" w:ascii="仿宋_GB2312" w:hAnsi="黑体" w:eastAsia="仿宋_GB2312"/>
          <w:sz w:val="32"/>
          <w:szCs w:val="32"/>
        </w:rPr>
        <w:t>以机械化作业为主，人工作业为辅，使用专用保洁设备和车辆，实施深度除污、除尘，保持路面干净整洁，还原路面本色，对广场、码头、车站地面进行洗刷。对侧石、墙角、树圈、砖（墙）缝等区域的积泥、杂草进行清除，保持干净整洁、无污渍、无杂物堆放、无零星垃圾。</w:t>
      </w:r>
    </w:p>
    <w:p>
      <w:pPr>
        <w:autoSpaceDE w:val="0"/>
        <w:spacing w:line="560" w:lineRule="exact"/>
        <w:ind w:firstLine="640" w:firstLineChars="200"/>
        <w:rPr>
          <w:rFonts w:ascii="仿宋_GB2312" w:hAnsi="微软雅黑" w:eastAsia="仿宋_GB2312" w:cs="微软雅黑"/>
          <w:sz w:val="32"/>
          <w:szCs w:val="32"/>
        </w:rPr>
      </w:pPr>
      <w:r>
        <w:rPr>
          <w:rFonts w:hint="eastAsia" w:ascii="楷体_GB2312" w:hAnsi="黑体" w:eastAsia="楷体_GB2312"/>
          <w:b/>
          <w:bCs/>
          <w:sz w:val="32"/>
          <w:szCs w:val="32"/>
        </w:rPr>
        <w:t>（二）建筑立面规范保洁，达到整洁靓丽、视觉舒适标准。</w:t>
      </w:r>
      <w:r>
        <w:rPr>
          <w:rFonts w:hint="eastAsia" w:ascii="仿宋_GB2312" w:hAnsi="黑体" w:eastAsia="仿宋_GB2312"/>
          <w:sz w:val="32"/>
          <w:szCs w:val="32"/>
        </w:rPr>
        <w:t>全面清理“空中垃圾”、建筑物外立面积灰积尘、景观水体可见垃圾和附着污物。常态对排水沟、窨井、沟底等积泥、垃圾进行清理和疏通，确保排水畅通，</w:t>
      </w:r>
      <w:r>
        <w:rPr>
          <w:rFonts w:hint="eastAsia" w:ascii="仿宋_GB2312" w:hAnsi="微软雅黑" w:eastAsia="仿宋_GB2312" w:cs="微软雅黑"/>
          <w:sz w:val="32"/>
          <w:szCs w:val="32"/>
        </w:rPr>
        <w:t>窨井周边洁净。</w:t>
      </w:r>
    </w:p>
    <w:p>
      <w:pPr>
        <w:autoSpaceDE w:val="0"/>
        <w:spacing w:line="560" w:lineRule="exact"/>
        <w:ind w:firstLine="640" w:firstLineChars="200"/>
        <w:rPr>
          <w:rFonts w:ascii="仿宋_GB2312" w:hAnsi="黑体" w:eastAsia="仿宋_GB2312"/>
          <w:sz w:val="32"/>
          <w:szCs w:val="32"/>
        </w:rPr>
      </w:pPr>
      <w:r>
        <w:rPr>
          <w:rFonts w:hint="eastAsia" w:ascii="楷体_GB2312" w:hAnsi="黑体" w:eastAsia="楷体_GB2312"/>
          <w:b/>
          <w:bCs/>
          <w:sz w:val="32"/>
          <w:szCs w:val="32"/>
        </w:rPr>
        <w:t>（三）城市家具清洗保洁，达到洁净如洗、随手可摸标准。</w:t>
      </w:r>
      <w:r>
        <w:rPr>
          <w:rFonts w:hint="eastAsia" w:ascii="仿宋_GB2312" w:hAnsi="黑体" w:eastAsia="仿宋_GB2312"/>
          <w:sz w:val="32"/>
          <w:szCs w:val="32"/>
        </w:rPr>
        <w:t>对公园、广场、立体景观内部及周边的条椅、石凳、扶手等各类城市家具进行清洗保洁，实现设施上无杂物、无灰尘、无污渍、无张贴。</w:t>
      </w:r>
    </w:p>
    <w:p>
      <w:pPr>
        <w:autoSpaceDE w:val="0"/>
        <w:spacing w:line="560" w:lineRule="exact"/>
        <w:ind w:firstLine="640" w:firstLineChars="200"/>
        <w:rPr>
          <w:rFonts w:ascii="仿宋_GB2312" w:hAnsi="黑体" w:eastAsia="仿宋_GB2312"/>
          <w:sz w:val="32"/>
          <w:szCs w:val="32"/>
        </w:rPr>
      </w:pPr>
      <w:r>
        <w:rPr>
          <w:rFonts w:hint="eastAsia" w:ascii="楷体_GB2312" w:hAnsi="黑体" w:eastAsia="楷体_GB2312"/>
          <w:b/>
          <w:bCs/>
          <w:sz w:val="32"/>
          <w:szCs w:val="32"/>
        </w:rPr>
        <w:t>（四）绿化绿地冲洗保洁，达到整洁有序、绿叶如新标准。</w:t>
      </w:r>
      <w:r>
        <w:rPr>
          <w:rFonts w:hint="eastAsia" w:ascii="仿宋_GB2312" w:hAnsi="黑体" w:eastAsia="仿宋_GB2312"/>
          <w:sz w:val="32"/>
          <w:szCs w:val="32"/>
        </w:rPr>
        <w:t>绿化隔离带、绿地以冲洗、捡拾为主，清除暴露垃圾、杂草，绿化带内无杂物悬挂、堆放，绿地无裸露。利用高压水冲洗绿植，实现绿植表面无浮尘。</w:t>
      </w:r>
    </w:p>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四、创建重点及相关内容</w:t>
      </w:r>
    </w:p>
    <w:p>
      <w:pPr>
        <w:pStyle w:val="2"/>
        <w:spacing w:line="560" w:lineRule="exact"/>
        <w:ind w:firstLine="640"/>
        <w:rPr>
          <w:rFonts w:ascii="楷体_GB2312" w:hAnsi="黑体" w:eastAsia="楷体_GB2312" w:cs="Calibri"/>
          <w:sz w:val="32"/>
          <w:szCs w:val="32"/>
        </w:rPr>
      </w:pPr>
      <w:r>
        <w:rPr>
          <w:rFonts w:hint="eastAsia" w:ascii="楷体_GB2312" w:hAnsi="黑体" w:eastAsia="楷体_GB2312" w:cs="Calibri"/>
          <w:sz w:val="32"/>
          <w:szCs w:val="32"/>
        </w:rPr>
        <w:t>（一）岱山县长途客运中心</w:t>
      </w:r>
    </w:p>
    <w:p>
      <w:pPr>
        <w:pStyle w:val="2"/>
        <w:spacing w:line="560" w:lineRule="exact"/>
        <w:ind w:firstLine="643"/>
        <w:rPr>
          <w:rFonts w:ascii="仿宋_GB2312" w:hAnsi="黑体" w:eastAsia="仿宋_GB2312" w:cs="Calibri"/>
          <w:b/>
          <w:sz w:val="32"/>
          <w:szCs w:val="32"/>
        </w:rPr>
      </w:pPr>
      <w:r>
        <w:rPr>
          <w:rFonts w:hint="eastAsia" w:ascii="仿宋_GB2312" w:hAnsi="黑体" w:eastAsia="仿宋_GB2312" w:cs="Calibri"/>
          <w:b/>
          <w:sz w:val="32"/>
          <w:szCs w:val="32"/>
        </w:rPr>
        <w:t>1、创建区域：</w:t>
      </w:r>
      <w:r>
        <w:rPr>
          <w:rFonts w:hint="eastAsia" w:ascii="仿宋_GB2312" w:hAnsi="黑体" w:eastAsia="仿宋_GB2312" w:cs="Calibri"/>
          <w:sz w:val="32"/>
          <w:szCs w:val="32"/>
        </w:rPr>
        <w:t>为岱山县长途客运中心东南门前空地，覆盖面积约500平方米。</w:t>
      </w:r>
    </w:p>
    <w:p>
      <w:pPr>
        <w:pStyle w:val="2"/>
        <w:spacing w:line="560" w:lineRule="exact"/>
        <w:ind w:firstLine="643"/>
        <w:rPr>
          <w:rFonts w:ascii="仿宋_GB2312" w:hAnsi="黑体" w:eastAsia="仿宋_GB2312" w:cs="Calibri"/>
          <w:sz w:val="32"/>
          <w:szCs w:val="32"/>
        </w:rPr>
      </w:pPr>
      <w:r>
        <w:rPr>
          <w:rFonts w:hint="eastAsia" w:ascii="仿宋_GB2312" w:hAnsi="黑体" w:eastAsia="仿宋_GB2312" w:cs="Calibri"/>
          <w:b/>
          <w:sz w:val="32"/>
          <w:szCs w:val="32"/>
        </w:rPr>
        <w:t>2、保洁人员：</w:t>
      </w:r>
      <w:r>
        <w:rPr>
          <w:rFonts w:hint="eastAsia" w:ascii="仿宋_GB2312" w:hAnsi="黑体" w:eastAsia="仿宋_GB2312" w:cs="Calibri"/>
          <w:sz w:val="32"/>
          <w:szCs w:val="32"/>
        </w:rPr>
        <w:t>配备专职保洁人员1名，并配备专业除胶剂、小铲刀、湿抹布、干抹布、水桶、火钳等专业工具。结合保洁需求，新增采购保洁专用手推车、高压冲洗机、落叶吹风机等机械设备若干。</w:t>
      </w:r>
    </w:p>
    <w:p>
      <w:pPr>
        <w:pStyle w:val="2"/>
        <w:spacing w:line="560" w:lineRule="exact"/>
        <w:ind w:firstLine="643"/>
        <w:rPr>
          <w:rFonts w:ascii="仿宋_GB2312" w:hAnsi="黑体" w:eastAsia="仿宋_GB2312" w:cs="Calibri"/>
          <w:sz w:val="32"/>
          <w:szCs w:val="32"/>
        </w:rPr>
      </w:pPr>
      <w:r>
        <w:rPr>
          <w:rFonts w:hint="eastAsia" w:ascii="仿宋_GB2312" w:hAnsi="黑体" w:eastAsia="仿宋_GB2312" w:cs="Calibri"/>
          <w:b/>
          <w:sz w:val="32"/>
          <w:szCs w:val="32"/>
        </w:rPr>
        <w:t>3、作业时段：</w:t>
      </w:r>
      <w:r>
        <w:rPr>
          <w:rFonts w:hint="eastAsia" w:ascii="仿宋_GB2312" w:hAnsi="黑体" w:eastAsia="仿宋_GB2312"/>
          <w:sz w:val="32"/>
          <w:szCs w:val="32"/>
        </w:rPr>
        <w:t>08:30-12:00；</w:t>
      </w:r>
      <w:r>
        <w:rPr>
          <w:rFonts w:hint="eastAsia" w:ascii="仿宋_GB2312" w:hAnsi="黑体" w:eastAsia="仿宋_GB2312" w:cs="Calibri"/>
          <w:sz w:val="32"/>
          <w:szCs w:val="32"/>
        </w:rPr>
        <w:t>14:00-17:00</w:t>
      </w:r>
      <w:r>
        <w:rPr>
          <w:rFonts w:hint="eastAsia" w:ascii="仿宋_GB2312" w:hAnsi="黑体" w:eastAsia="仿宋_GB2312"/>
          <w:sz w:val="32"/>
          <w:szCs w:val="32"/>
        </w:rPr>
        <w:t>。</w:t>
      </w:r>
    </w:p>
    <w:p>
      <w:pPr>
        <w:pStyle w:val="2"/>
        <w:spacing w:line="560" w:lineRule="exact"/>
        <w:ind w:firstLine="643"/>
        <w:rPr>
          <w:rFonts w:ascii="仿宋_GB2312" w:hAnsi="黑体" w:eastAsia="仿宋_GB2312" w:cs="Calibri"/>
          <w:sz w:val="32"/>
          <w:szCs w:val="32"/>
        </w:rPr>
      </w:pPr>
      <w:r>
        <w:rPr>
          <w:rFonts w:hint="eastAsia" w:ascii="仿宋_GB2312" w:hAnsi="黑体" w:eastAsia="仿宋_GB2312" w:cs="Calibri"/>
          <w:b/>
          <w:sz w:val="32"/>
          <w:szCs w:val="32"/>
        </w:rPr>
        <w:t>4、硬件改造：</w:t>
      </w:r>
      <w:r>
        <w:rPr>
          <w:rFonts w:hint="eastAsia" w:ascii="仿宋_GB2312" w:hAnsi="黑体" w:eastAsia="仿宋_GB2312" w:cs="Calibri"/>
          <w:sz w:val="32"/>
          <w:szCs w:val="32"/>
        </w:rPr>
        <w:t>（1）增设导览图；（2）完成绿植补种。</w:t>
      </w:r>
    </w:p>
    <w:p>
      <w:pPr>
        <w:pStyle w:val="2"/>
        <w:spacing w:line="560" w:lineRule="exact"/>
        <w:ind w:firstLine="640"/>
        <w:rPr>
          <w:rFonts w:ascii="楷体_GB2312" w:hAnsi="黑体" w:eastAsia="楷体_GB2312" w:cs="Calibri"/>
          <w:sz w:val="32"/>
          <w:szCs w:val="32"/>
        </w:rPr>
      </w:pPr>
      <w:r>
        <w:rPr>
          <w:rFonts w:hint="eastAsia" w:ascii="楷体_GB2312" w:hAnsi="黑体" w:eastAsia="楷体_GB2312" w:cs="Calibri"/>
          <w:sz w:val="32"/>
          <w:szCs w:val="32"/>
        </w:rPr>
        <w:t>（二）蓬莱会前休闲廊道</w:t>
      </w:r>
    </w:p>
    <w:p>
      <w:pPr>
        <w:pStyle w:val="2"/>
        <w:spacing w:line="560" w:lineRule="exact"/>
        <w:ind w:firstLine="643"/>
        <w:rPr>
          <w:rFonts w:ascii="仿宋_GB2312" w:hAnsi="黑体" w:eastAsia="仿宋_GB2312" w:cs="Calibri"/>
          <w:sz w:val="32"/>
          <w:szCs w:val="32"/>
        </w:rPr>
      </w:pPr>
      <w:r>
        <w:rPr>
          <w:rFonts w:hint="eastAsia" w:ascii="仿宋_GB2312" w:hAnsi="黑体" w:eastAsia="仿宋_GB2312" w:cs="Calibri"/>
          <w:b/>
          <w:sz w:val="32"/>
          <w:szCs w:val="32"/>
        </w:rPr>
        <w:t>1、创建区域：</w:t>
      </w:r>
      <w:r>
        <w:rPr>
          <w:rFonts w:hint="eastAsia" w:ascii="仿宋_GB2312" w:hAnsi="黑体" w:eastAsia="仿宋_GB2312" w:cs="Times New Roman"/>
          <w:sz w:val="32"/>
          <w:szCs w:val="32"/>
        </w:rPr>
        <w:t>蓬莱会前休闲廊道</w:t>
      </w:r>
      <w:r>
        <w:rPr>
          <w:rFonts w:hint="eastAsia" w:ascii="仿宋_GB2312" w:hAnsi="黑体" w:eastAsia="仿宋_GB2312" w:cs="Calibri"/>
          <w:sz w:val="32"/>
          <w:szCs w:val="32"/>
        </w:rPr>
        <w:t>，覆盖面积约200平方米。</w:t>
      </w:r>
    </w:p>
    <w:p>
      <w:pPr>
        <w:pStyle w:val="2"/>
        <w:spacing w:line="560" w:lineRule="exact"/>
        <w:ind w:firstLine="643"/>
        <w:rPr>
          <w:rFonts w:ascii="仿宋_GB2312" w:hAnsi="黑体" w:eastAsia="仿宋_GB2312" w:cs="Calibri"/>
          <w:sz w:val="32"/>
          <w:szCs w:val="32"/>
        </w:rPr>
      </w:pPr>
      <w:r>
        <w:rPr>
          <w:rFonts w:hint="eastAsia" w:ascii="仿宋_GB2312" w:hAnsi="黑体" w:eastAsia="仿宋_GB2312" w:cs="Calibri"/>
          <w:b/>
          <w:sz w:val="32"/>
          <w:szCs w:val="32"/>
        </w:rPr>
        <w:t>2、保洁人员：</w:t>
      </w:r>
      <w:r>
        <w:rPr>
          <w:rFonts w:hint="eastAsia" w:ascii="仿宋_GB2312" w:hAnsi="黑体" w:eastAsia="仿宋_GB2312" w:cs="Calibri"/>
          <w:sz w:val="32"/>
          <w:szCs w:val="32"/>
        </w:rPr>
        <w:t>配备专职保洁人员1名，并配备专业除胶剂、小铲刀、湿抹布、干抹布、水桶、火钳等专业工具。结合保洁需求，新增采购保洁专用手推车、高压冲洗机、落叶吹风机等机械设备若干。</w:t>
      </w:r>
    </w:p>
    <w:p>
      <w:pPr>
        <w:pStyle w:val="2"/>
        <w:spacing w:line="560" w:lineRule="exact"/>
        <w:ind w:firstLine="643"/>
        <w:rPr>
          <w:rFonts w:ascii="仿宋_GB2312" w:hAnsi="黑体" w:eastAsia="仿宋_GB2312" w:cs="Calibri"/>
          <w:sz w:val="32"/>
          <w:szCs w:val="32"/>
        </w:rPr>
      </w:pPr>
      <w:r>
        <w:rPr>
          <w:rFonts w:hint="eastAsia" w:ascii="仿宋_GB2312" w:hAnsi="黑体" w:eastAsia="仿宋_GB2312" w:cs="Calibri"/>
          <w:b/>
          <w:sz w:val="32"/>
          <w:szCs w:val="32"/>
        </w:rPr>
        <w:t>3、作业时段：</w:t>
      </w:r>
      <w:r>
        <w:rPr>
          <w:rFonts w:hint="eastAsia" w:ascii="仿宋_GB2312" w:hAnsi="黑体" w:eastAsia="仿宋_GB2312"/>
          <w:sz w:val="32"/>
          <w:szCs w:val="32"/>
        </w:rPr>
        <w:t>06:00-10:00；13:00-17:00</w:t>
      </w:r>
      <w:r>
        <w:rPr>
          <w:rFonts w:hint="eastAsia" w:ascii="仿宋_GB2312" w:hAnsi="黑体" w:eastAsia="仿宋_GB2312" w:cs="Calibri"/>
          <w:sz w:val="32"/>
          <w:szCs w:val="32"/>
        </w:rPr>
        <w:t>。</w:t>
      </w:r>
    </w:p>
    <w:p>
      <w:pPr>
        <w:pStyle w:val="2"/>
        <w:spacing w:line="560" w:lineRule="exact"/>
        <w:ind w:firstLine="643"/>
        <w:rPr>
          <w:rFonts w:ascii="仿宋_GB2312" w:hAnsi="黑体" w:eastAsia="仿宋_GB2312" w:cs="Calibri"/>
          <w:sz w:val="32"/>
          <w:szCs w:val="32"/>
        </w:rPr>
      </w:pPr>
      <w:r>
        <w:rPr>
          <w:rFonts w:hint="eastAsia" w:ascii="仿宋_GB2312" w:hAnsi="黑体" w:eastAsia="仿宋_GB2312" w:cs="Calibri"/>
          <w:b/>
          <w:sz w:val="32"/>
          <w:szCs w:val="32"/>
        </w:rPr>
        <w:t>4、硬件改造：</w:t>
      </w:r>
      <w:r>
        <w:rPr>
          <w:rFonts w:hint="eastAsia" w:ascii="仿宋_GB2312" w:hAnsi="黑体" w:eastAsia="仿宋_GB2312" w:cs="Calibri"/>
          <w:sz w:val="32"/>
          <w:szCs w:val="32"/>
        </w:rPr>
        <w:t>（1）增设导览图；（2）完成绿植补种。</w:t>
      </w:r>
    </w:p>
    <w:p>
      <w:pPr>
        <w:pStyle w:val="2"/>
        <w:spacing w:line="560" w:lineRule="exact"/>
        <w:ind w:firstLine="640"/>
        <w:rPr>
          <w:rFonts w:ascii="楷体_GB2312" w:hAnsi="黑体" w:eastAsia="楷体_GB2312" w:cs="Calibri"/>
          <w:sz w:val="32"/>
          <w:szCs w:val="32"/>
        </w:rPr>
      </w:pPr>
      <w:r>
        <w:rPr>
          <w:rFonts w:hint="eastAsia" w:ascii="楷体_GB2312" w:hAnsi="黑体" w:eastAsia="楷体_GB2312" w:cs="Calibri"/>
          <w:sz w:val="32"/>
          <w:szCs w:val="32"/>
        </w:rPr>
        <w:t>（三）夜经济带休闲角</w:t>
      </w:r>
    </w:p>
    <w:p>
      <w:pPr>
        <w:pStyle w:val="2"/>
        <w:spacing w:line="560" w:lineRule="exact"/>
        <w:ind w:firstLine="643"/>
        <w:rPr>
          <w:rFonts w:ascii="仿宋_GB2312" w:hAnsi="黑体" w:eastAsia="仿宋_GB2312" w:cs="Calibri"/>
          <w:sz w:val="32"/>
          <w:szCs w:val="32"/>
        </w:rPr>
      </w:pPr>
      <w:r>
        <w:rPr>
          <w:rFonts w:hint="eastAsia" w:ascii="仿宋_GB2312" w:hAnsi="黑体" w:eastAsia="仿宋_GB2312" w:cs="Calibri"/>
          <w:b/>
          <w:sz w:val="32"/>
          <w:szCs w:val="32"/>
        </w:rPr>
        <w:t>1、创建区域：</w:t>
      </w:r>
      <w:r>
        <w:rPr>
          <w:rFonts w:hint="eastAsia" w:ascii="仿宋_GB2312" w:hAnsi="黑体" w:eastAsia="仿宋_GB2312" w:cs="Calibri"/>
          <w:sz w:val="32"/>
          <w:szCs w:val="32"/>
        </w:rPr>
        <w:t>夜经济带休闲角（位于人民路与和谐路交界口，中心菜场对面），覆盖面积约200平方米。</w:t>
      </w:r>
    </w:p>
    <w:p>
      <w:pPr>
        <w:pStyle w:val="2"/>
        <w:spacing w:line="560" w:lineRule="exact"/>
        <w:ind w:firstLine="643"/>
        <w:rPr>
          <w:rFonts w:ascii="仿宋_GB2312" w:hAnsi="黑体" w:eastAsia="仿宋_GB2312" w:cs="Calibri"/>
          <w:sz w:val="32"/>
          <w:szCs w:val="32"/>
        </w:rPr>
      </w:pPr>
      <w:r>
        <w:rPr>
          <w:rFonts w:hint="eastAsia" w:ascii="仿宋_GB2312" w:hAnsi="黑体" w:eastAsia="仿宋_GB2312" w:cs="Calibri"/>
          <w:b/>
          <w:sz w:val="32"/>
          <w:szCs w:val="32"/>
        </w:rPr>
        <w:t>2、保洁人员：</w:t>
      </w:r>
      <w:r>
        <w:rPr>
          <w:rFonts w:hint="eastAsia" w:ascii="仿宋_GB2312" w:hAnsi="黑体" w:eastAsia="仿宋_GB2312" w:cs="Calibri"/>
          <w:sz w:val="32"/>
          <w:szCs w:val="32"/>
        </w:rPr>
        <w:t>配备专职保洁人员1名，并配备专业除胶剂、小铲刀、湿抹布、干抹布、水桶、火钳等专业工具。结合保洁需求，新增采购保洁专用手推车、高压冲洗机、落叶吹风机等机械设备若干。</w:t>
      </w:r>
    </w:p>
    <w:p>
      <w:pPr>
        <w:spacing w:line="560" w:lineRule="exact"/>
        <w:ind w:firstLine="627" w:firstLineChars="196"/>
        <w:rPr>
          <w:rFonts w:ascii="仿宋_GB2312" w:hAnsi="黑体" w:eastAsia="仿宋_GB2312"/>
          <w:sz w:val="32"/>
          <w:szCs w:val="32"/>
        </w:rPr>
      </w:pPr>
      <w:r>
        <w:rPr>
          <w:rFonts w:hint="eastAsia" w:ascii="仿宋_GB2312" w:hAnsi="黑体" w:eastAsia="仿宋_GB2312"/>
          <w:b/>
          <w:sz w:val="32"/>
          <w:szCs w:val="32"/>
        </w:rPr>
        <w:t>3、作业时段：</w:t>
      </w:r>
      <w:r>
        <w:rPr>
          <w:rFonts w:hint="eastAsia" w:ascii="仿宋_GB2312" w:hAnsi="黑体" w:eastAsia="仿宋_GB2312"/>
          <w:sz w:val="32"/>
          <w:szCs w:val="32"/>
        </w:rPr>
        <w:t>06:00-10:00；13:00-17:00。</w:t>
      </w:r>
    </w:p>
    <w:p>
      <w:pPr>
        <w:pStyle w:val="2"/>
        <w:spacing w:line="560" w:lineRule="exact"/>
        <w:ind w:firstLine="643"/>
        <w:rPr>
          <w:rFonts w:ascii="仿宋_GB2312" w:hAnsi="黑体" w:eastAsia="仿宋_GB2312" w:cs="Calibri"/>
          <w:sz w:val="32"/>
          <w:szCs w:val="32"/>
        </w:rPr>
      </w:pPr>
      <w:r>
        <w:rPr>
          <w:rFonts w:hint="eastAsia" w:ascii="仿宋_GB2312" w:hAnsi="黑体" w:eastAsia="仿宋_GB2312" w:cs="Calibri"/>
          <w:b/>
          <w:sz w:val="32"/>
          <w:szCs w:val="32"/>
        </w:rPr>
        <w:t>4、硬件改造：</w:t>
      </w:r>
      <w:r>
        <w:rPr>
          <w:rFonts w:hint="eastAsia" w:ascii="仿宋_GB2312" w:hAnsi="黑体" w:eastAsia="仿宋_GB2312" w:cs="Calibri"/>
          <w:sz w:val="32"/>
          <w:szCs w:val="32"/>
        </w:rPr>
        <w:t>（1）增设导览图；（2）完成绿植补种。</w:t>
      </w:r>
    </w:p>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五、实施步骤</w:t>
      </w:r>
    </w:p>
    <w:p>
      <w:pPr>
        <w:autoSpaceDE w:val="0"/>
        <w:spacing w:line="560" w:lineRule="exact"/>
        <w:ind w:firstLine="640" w:firstLineChars="200"/>
        <w:rPr>
          <w:rFonts w:ascii="楷体_GB2312" w:hAnsi="仿宋" w:eastAsia="楷体_GB2312"/>
          <w:b/>
          <w:sz w:val="32"/>
          <w:szCs w:val="32"/>
        </w:rPr>
      </w:pPr>
      <w:r>
        <w:rPr>
          <w:rFonts w:hint="eastAsia" w:ascii="楷体_GB2312" w:hAnsi="仿宋" w:eastAsia="楷体_GB2312"/>
          <w:b/>
          <w:sz w:val="32"/>
          <w:szCs w:val="32"/>
        </w:rPr>
        <w:t>（一）动员部署阶段（2022年4月底前）。</w:t>
      </w:r>
      <w:r>
        <w:rPr>
          <w:rFonts w:hint="eastAsia" w:ascii="仿宋_GB2312" w:hAnsi="仿宋" w:eastAsia="仿宋_GB2312"/>
          <w:sz w:val="32"/>
          <w:szCs w:val="32"/>
        </w:rPr>
        <w:t>全面动员部署，落实责任主体。根据《实施方案》要求，细化行动方案，逐项列出</w:t>
      </w:r>
      <w:r>
        <w:rPr>
          <w:rFonts w:ascii="仿宋_GB2312" w:hAnsi="仿宋" w:eastAsia="仿宋_GB2312"/>
          <w:sz w:val="32"/>
          <w:szCs w:val="32"/>
        </w:rPr>
        <w:t>进度清单，</w:t>
      </w:r>
      <w:r>
        <w:rPr>
          <w:rFonts w:hint="eastAsia" w:ascii="仿宋_GB2312" w:hAnsi="仿宋" w:eastAsia="仿宋_GB2312"/>
          <w:sz w:val="32"/>
          <w:szCs w:val="32"/>
        </w:rPr>
        <w:t>制定月度</w:t>
      </w:r>
      <w:r>
        <w:rPr>
          <w:rFonts w:ascii="仿宋_GB2312" w:hAnsi="仿宋" w:eastAsia="仿宋_GB2312"/>
          <w:sz w:val="32"/>
          <w:szCs w:val="32"/>
        </w:rPr>
        <w:t>实施计划</w:t>
      </w:r>
      <w:r>
        <w:rPr>
          <w:rFonts w:hint="eastAsia" w:ascii="仿宋_GB2312" w:hAnsi="仿宋" w:eastAsia="仿宋_GB2312"/>
          <w:sz w:val="32"/>
          <w:szCs w:val="32"/>
        </w:rPr>
        <w:t>，确定责任人及</w:t>
      </w:r>
      <w:r>
        <w:rPr>
          <w:rFonts w:ascii="仿宋_GB2312" w:hAnsi="仿宋" w:eastAsia="仿宋_GB2312"/>
          <w:sz w:val="32"/>
          <w:szCs w:val="32"/>
        </w:rPr>
        <w:t>联络员</w:t>
      </w:r>
      <w:r>
        <w:rPr>
          <w:rFonts w:hint="eastAsia" w:ascii="仿宋_GB2312" w:hAnsi="仿宋" w:eastAsia="仿宋_GB2312"/>
          <w:sz w:val="32"/>
          <w:szCs w:val="32"/>
        </w:rPr>
        <w:t>，确保每项工作</w:t>
      </w:r>
      <w:r>
        <w:rPr>
          <w:rFonts w:ascii="仿宋_GB2312" w:hAnsi="仿宋" w:eastAsia="仿宋_GB2312"/>
          <w:sz w:val="32"/>
          <w:szCs w:val="32"/>
        </w:rPr>
        <w:t>有目标、有进度</w:t>
      </w:r>
      <w:r>
        <w:rPr>
          <w:rFonts w:hint="eastAsia" w:ascii="仿宋_GB2312" w:hAnsi="仿宋" w:eastAsia="仿宋_GB2312"/>
          <w:sz w:val="32"/>
          <w:szCs w:val="32"/>
        </w:rPr>
        <w:t>。</w:t>
      </w:r>
    </w:p>
    <w:p>
      <w:pPr>
        <w:autoSpaceDE w:val="0"/>
        <w:spacing w:line="560" w:lineRule="exact"/>
        <w:ind w:firstLine="640" w:firstLineChars="200"/>
        <w:rPr>
          <w:rFonts w:ascii="仿宋_GB2312" w:hAnsi="仿宋" w:eastAsia="仿宋_GB2312"/>
          <w:b/>
          <w:bCs/>
          <w:sz w:val="32"/>
          <w:szCs w:val="32"/>
        </w:rPr>
      </w:pPr>
      <w:r>
        <w:rPr>
          <w:rFonts w:hint="eastAsia" w:ascii="楷体_GB2312" w:hAnsi="仿宋" w:eastAsia="楷体_GB2312"/>
          <w:b/>
          <w:bCs/>
          <w:sz w:val="32"/>
          <w:szCs w:val="32"/>
        </w:rPr>
        <w:t>（二）集中实施阶段（2022年5月至11月底）。</w:t>
      </w:r>
      <w:r>
        <w:rPr>
          <w:rFonts w:hint="eastAsia" w:ascii="仿宋_GB2312" w:hAnsi="仿宋" w:eastAsia="仿宋_GB2312"/>
          <w:sz w:val="32"/>
          <w:szCs w:val="32"/>
        </w:rPr>
        <w:t>要根据行动方案，严格按照月度实施计划，全力推进行动开展。行动</w:t>
      </w:r>
      <w:r>
        <w:rPr>
          <w:rFonts w:ascii="仿宋_GB2312" w:hAnsi="仿宋" w:eastAsia="仿宋_GB2312"/>
          <w:sz w:val="32"/>
          <w:szCs w:val="32"/>
        </w:rPr>
        <w:t>期间实行工作进展月报告制度，责任单位要在每月20日前向牵头单位报送</w:t>
      </w:r>
      <w:r>
        <w:rPr>
          <w:rFonts w:hint="eastAsia" w:ascii="仿宋_GB2312" w:hAnsi="仿宋" w:eastAsia="仿宋_GB2312"/>
          <w:sz w:val="32"/>
          <w:szCs w:val="32"/>
        </w:rPr>
        <w:t>提升行动</w:t>
      </w:r>
      <w:r>
        <w:rPr>
          <w:rFonts w:ascii="仿宋_GB2312" w:hAnsi="仿宋" w:eastAsia="仿宋_GB2312"/>
          <w:sz w:val="32"/>
          <w:szCs w:val="32"/>
        </w:rPr>
        <w:t>进展情况，牵头单位汇总后报县城乡环境综合整治大会战领导小组办公室。</w:t>
      </w:r>
    </w:p>
    <w:p>
      <w:pPr>
        <w:autoSpaceDE w:val="0"/>
        <w:spacing w:line="560" w:lineRule="exact"/>
        <w:ind w:firstLine="640" w:firstLineChars="200"/>
        <w:rPr>
          <w:rFonts w:ascii="仿宋_GB2312" w:hAnsi="仿宋" w:eastAsia="仿宋_GB2312"/>
          <w:sz w:val="32"/>
          <w:szCs w:val="32"/>
        </w:rPr>
      </w:pPr>
      <w:r>
        <w:rPr>
          <w:rFonts w:hint="eastAsia" w:ascii="楷体_GB2312" w:hAnsi="仿宋" w:eastAsia="楷体_GB2312"/>
          <w:b/>
          <w:bCs/>
          <w:sz w:val="32"/>
          <w:szCs w:val="32"/>
        </w:rPr>
        <w:t>（三）考核验收阶段（2022年12月底）。</w:t>
      </w:r>
      <w:r>
        <w:rPr>
          <w:rFonts w:hint="eastAsia" w:ascii="仿宋_GB2312" w:hAnsi="仿宋" w:eastAsia="仿宋_GB2312"/>
          <w:sz w:val="32"/>
          <w:szCs w:val="32"/>
        </w:rPr>
        <w:t>由县城乡环境综合整治领导小组办公室组织各责任单位，对“席地能坐”保洁区创建行动实际效果进行验收考核，其结果作为年底综合考评的依据。</w:t>
      </w:r>
    </w:p>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六、职责分工</w:t>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b/>
          <w:bCs/>
          <w:sz w:val="32"/>
          <w:szCs w:val="32"/>
        </w:rPr>
        <w:t>县经信局：</w:t>
      </w:r>
      <w:r>
        <w:rPr>
          <w:rFonts w:hint="eastAsia" w:ascii="仿宋_GB2312" w:hAnsi="仿宋" w:eastAsia="仿宋_GB2312"/>
          <w:sz w:val="32"/>
          <w:szCs w:val="32"/>
        </w:rPr>
        <w:t>负责指导、督促2021年创建成功的新天地广场“席地能坐”保洁区落实常态管理，做好巩固提升。</w:t>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b/>
          <w:bCs/>
          <w:sz w:val="32"/>
          <w:szCs w:val="32"/>
        </w:rPr>
        <w:t>县综合行政执法局：</w:t>
      </w:r>
      <w:r>
        <w:rPr>
          <w:rFonts w:hint="eastAsia" w:ascii="仿宋_GB2312" w:hAnsi="仿宋" w:eastAsia="仿宋_GB2312"/>
          <w:sz w:val="32"/>
          <w:szCs w:val="32"/>
        </w:rPr>
        <w:t>为本次整治行动牵头单位，负责制定创建行动实施方案，对行动推进情况进行检查、督促和考评工作。及时查处涉及市容环境卫生违法行为。根据实施方案，因地制宜组织开展具体行动，建立完善长效管理机制。负责完成</w:t>
      </w:r>
      <w:r>
        <w:rPr>
          <w:rFonts w:hint="eastAsia" w:ascii="仿宋_GB2312" w:hAnsi="黑体" w:eastAsia="仿宋_GB2312"/>
          <w:sz w:val="32"/>
          <w:szCs w:val="32"/>
        </w:rPr>
        <w:t>蓬莱会前休闲廊道、夜经济带休闲角</w:t>
      </w:r>
      <w:r>
        <w:rPr>
          <w:rFonts w:hint="eastAsia" w:ascii="仿宋_GB2312" w:hAnsi="仿宋" w:eastAsia="仿宋_GB2312"/>
          <w:sz w:val="32"/>
          <w:szCs w:val="32"/>
        </w:rPr>
        <w:t>的保洁区创建工作。对2021年创建成功的行政中心广场、新区观海平台、童梦园这3个“席地能坐”保洁区落实常态管理，做好巩固提升。</w:t>
      </w:r>
    </w:p>
    <w:p>
      <w:pPr>
        <w:autoSpaceDE w:val="0"/>
        <w:spacing w:line="560" w:lineRule="exact"/>
        <w:ind w:firstLine="640" w:firstLineChars="200"/>
        <w:rPr>
          <w:rFonts w:ascii="仿宋_GB2312" w:hAnsi="仿宋" w:eastAsia="仿宋_GB2312"/>
          <w:sz w:val="32"/>
          <w:szCs w:val="32"/>
        </w:rPr>
      </w:pPr>
      <w:r>
        <w:rPr>
          <w:rFonts w:hint="eastAsia" w:ascii="仿宋_GB2312" w:hAnsi="仿宋" w:eastAsia="仿宋_GB2312"/>
          <w:b/>
          <w:sz w:val="32"/>
          <w:szCs w:val="32"/>
        </w:rPr>
        <w:t>高亭镇：</w:t>
      </w:r>
      <w:r>
        <w:rPr>
          <w:rFonts w:hint="eastAsia" w:ascii="仿宋_GB2312" w:hAnsi="仿宋" w:eastAsia="仿宋_GB2312"/>
          <w:sz w:val="32"/>
          <w:szCs w:val="32"/>
        </w:rPr>
        <w:t>对2021年创建成功的高亭创客先锋联盟中心“席地能坐”保洁区落实常态管理，做好巩固提升。</w:t>
      </w:r>
    </w:p>
    <w:p>
      <w:pPr>
        <w:autoSpaceDE w:val="0"/>
        <w:spacing w:line="560" w:lineRule="exact"/>
        <w:ind w:firstLine="640" w:firstLineChars="200"/>
        <w:rPr>
          <w:rFonts w:ascii="仿宋_GB2312" w:hAnsi="仿宋" w:eastAsia="仿宋_GB2312"/>
          <w:b/>
          <w:bCs/>
          <w:sz w:val="32"/>
          <w:szCs w:val="32"/>
        </w:rPr>
      </w:pPr>
      <w:r>
        <w:rPr>
          <w:rFonts w:hint="eastAsia" w:ascii="仿宋_GB2312" w:hAnsi="仿宋" w:eastAsia="仿宋_GB2312"/>
          <w:b/>
          <w:bCs/>
          <w:sz w:val="32"/>
          <w:szCs w:val="32"/>
        </w:rPr>
        <w:t>县交投集团：</w:t>
      </w:r>
      <w:r>
        <w:rPr>
          <w:rFonts w:hint="eastAsia" w:ascii="仿宋_GB2312" w:hAnsi="仿宋" w:eastAsia="仿宋_GB2312"/>
          <w:sz w:val="32"/>
          <w:szCs w:val="32"/>
        </w:rPr>
        <w:t>负责指导、督促岱山县长途客运中心做好保洁区创建工作，配合牵头单位做好检查、考评工作。</w:t>
      </w:r>
    </w:p>
    <w:p>
      <w:pPr>
        <w:autoSpaceDE w:val="0"/>
        <w:spacing w:line="560" w:lineRule="exact"/>
        <w:ind w:firstLine="640" w:firstLineChars="200"/>
        <w:rPr>
          <w:rFonts w:ascii="黑体" w:hAnsi="黑体" w:eastAsia="黑体"/>
          <w:sz w:val="32"/>
          <w:szCs w:val="32"/>
        </w:rPr>
      </w:pPr>
      <w:r>
        <w:rPr>
          <w:rFonts w:hint="eastAsia" w:ascii="黑体" w:hAnsi="黑体" w:eastAsia="黑体"/>
          <w:sz w:val="32"/>
          <w:szCs w:val="32"/>
        </w:rPr>
        <w:t>七、工作要求</w:t>
      </w:r>
    </w:p>
    <w:p>
      <w:pPr>
        <w:autoSpaceDE w:val="0"/>
        <w:spacing w:line="560" w:lineRule="exact"/>
        <w:ind w:firstLine="640" w:firstLineChars="200"/>
        <w:rPr>
          <w:rFonts w:ascii="仿宋_GB2312" w:hAnsi="仿宋" w:eastAsia="仿宋_GB2312"/>
          <w:bCs/>
          <w:sz w:val="32"/>
          <w:szCs w:val="32"/>
        </w:rPr>
      </w:pPr>
      <w:r>
        <w:rPr>
          <w:rFonts w:hint="eastAsia" w:ascii="楷体_GB2312" w:hAnsi="仿宋" w:eastAsia="楷体_GB2312"/>
          <w:b/>
          <w:bCs/>
          <w:sz w:val="32"/>
          <w:szCs w:val="32"/>
        </w:rPr>
        <w:t>（一）细致有序开展创建。</w:t>
      </w:r>
      <w:r>
        <w:rPr>
          <w:rFonts w:hint="eastAsia" w:ascii="仿宋_GB2312" w:hAnsi="仿宋" w:eastAsia="仿宋_GB2312"/>
          <w:bCs/>
          <w:sz w:val="32"/>
          <w:szCs w:val="32"/>
        </w:rPr>
        <w:t>要按照既定目标，层层动员，压实责任，切实提高工作效率，抓紧时间开展各项工作，确保按方案任务推进要求落实。相关部门要密切配合，形成工作合力，发挥好统筹协调、督促指导等作用，推动相关工作有序安全开展。</w:t>
      </w:r>
    </w:p>
    <w:p>
      <w:pPr>
        <w:autoSpaceDE w:val="0"/>
        <w:spacing w:line="560" w:lineRule="exact"/>
        <w:ind w:firstLine="640" w:firstLineChars="200"/>
        <w:rPr>
          <w:rFonts w:ascii="仿宋_GB2312" w:hAnsi="仿宋" w:eastAsia="仿宋_GB2312"/>
          <w:bCs/>
          <w:sz w:val="32"/>
          <w:szCs w:val="32"/>
        </w:rPr>
      </w:pPr>
      <w:r>
        <w:rPr>
          <w:rFonts w:hint="eastAsia" w:ascii="楷体_GB2312" w:hAnsi="仿宋" w:eastAsia="楷体_GB2312"/>
          <w:b/>
          <w:sz w:val="32"/>
          <w:szCs w:val="32"/>
        </w:rPr>
        <w:t>（二）合力优化推进模式。</w:t>
      </w:r>
      <w:r>
        <w:rPr>
          <w:rFonts w:hint="eastAsia" w:ascii="仿宋_GB2312" w:hAnsi="仿宋" w:eastAsia="仿宋_GB2312"/>
          <w:bCs/>
          <w:sz w:val="32"/>
          <w:szCs w:val="32"/>
        </w:rPr>
        <w:t>推进创建区域社会治理能力提升，落实管行业管创建，全面落实保洁区责任区制度。充分发挥舆论媒体的引导作用，加强“席地能坐”保洁区创建的宣传发动，提倡垃圾不落地，引导市民共建、共享美好城市公共环境。</w:t>
      </w:r>
    </w:p>
    <w:p>
      <w:pPr>
        <w:autoSpaceDE w:val="0"/>
        <w:spacing w:line="560" w:lineRule="exact"/>
        <w:ind w:firstLine="640" w:firstLineChars="200"/>
        <w:rPr>
          <w:rFonts w:ascii="仿宋_GB2312" w:hAnsi="仿宋" w:eastAsia="仿宋_GB2312"/>
          <w:bCs/>
          <w:sz w:val="32"/>
          <w:szCs w:val="32"/>
        </w:rPr>
      </w:pPr>
      <w:r>
        <w:rPr>
          <w:rFonts w:hint="eastAsia" w:ascii="楷体_GB2312" w:hAnsi="仿宋" w:eastAsia="楷体_GB2312"/>
          <w:b/>
          <w:sz w:val="32"/>
          <w:szCs w:val="32"/>
        </w:rPr>
        <w:t>（三）加大监管考核力度</w:t>
      </w:r>
      <w:r>
        <w:rPr>
          <w:rFonts w:hint="eastAsia" w:ascii="楷体_GB2312" w:hAnsi="仿宋" w:eastAsia="楷体_GB2312"/>
          <w:b/>
          <w:bCs/>
          <w:sz w:val="32"/>
          <w:szCs w:val="32"/>
        </w:rPr>
        <w:t>。</w:t>
      </w:r>
      <w:r>
        <w:rPr>
          <w:rFonts w:hint="eastAsia" w:ascii="仿宋_GB2312" w:hAnsi="仿宋" w:eastAsia="仿宋_GB2312"/>
          <w:sz w:val="32"/>
          <w:szCs w:val="32"/>
        </w:rPr>
        <w:t>强化</w:t>
      </w:r>
      <w:r>
        <w:rPr>
          <w:rFonts w:hint="eastAsia" w:ascii="仿宋_GB2312" w:hAnsi="仿宋" w:eastAsia="仿宋_GB2312"/>
          <w:bCs/>
          <w:sz w:val="32"/>
          <w:szCs w:val="32"/>
        </w:rPr>
        <w:t>信息化监管，通过快速巡查、视频监控，第一时间发现、处置、反馈问题，对违规违法问题进行快速处置，精准治理。牵头单位要定期深入实地加强检查指导，及时通报工作完成情况，并按相关规定纳入工作考核。</w:t>
      </w:r>
    </w:p>
    <w:p>
      <w:pPr>
        <w:autoSpaceDE w:val="0"/>
        <w:spacing w:line="560" w:lineRule="exact"/>
        <w:ind w:firstLine="640" w:firstLineChars="200"/>
        <w:rPr>
          <w:rFonts w:hint="eastAsia" w:ascii="仿宋_GB2312" w:hAnsi="仿宋" w:eastAsia="仿宋_GB2312"/>
          <w:bCs/>
          <w:sz w:val="32"/>
          <w:szCs w:val="32"/>
        </w:rPr>
      </w:pPr>
    </w:p>
    <w:p>
      <w:pPr>
        <w:autoSpaceDE w:val="0"/>
        <w:spacing w:line="560" w:lineRule="exact"/>
        <w:ind w:firstLine="640" w:firstLineChars="200"/>
        <w:rPr>
          <w:rFonts w:ascii="仿宋_GB2312" w:hAnsi="仿宋" w:eastAsia="仿宋_GB2312"/>
          <w:bCs/>
          <w:sz w:val="32"/>
          <w:szCs w:val="32"/>
        </w:rPr>
        <w:sectPr>
          <w:pgSz w:w="11906" w:h="16838"/>
          <w:pgMar w:top="1440" w:right="1797" w:bottom="1440" w:left="1797" w:header="851" w:footer="992" w:gutter="0"/>
          <w:cols w:space="720" w:num="1"/>
          <w:docGrid w:type="linesAndChars" w:linePitch="312" w:charSpace="0"/>
        </w:sectPr>
      </w:pPr>
      <w:r>
        <w:rPr>
          <w:rFonts w:hint="eastAsia" w:ascii="仿宋_GB2312" w:hAnsi="仿宋" w:eastAsia="仿宋_GB2312"/>
          <w:bCs/>
          <w:sz w:val="32"/>
          <w:szCs w:val="32"/>
        </w:rPr>
        <w:t>附件3-1：岱山县“席地能坐”保洁区创建明细表</w:t>
      </w:r>
    </w:p>
    <w:p>
      <w:pPr>
        <w:autoSpaceDE w:val="0"/>
        <w:spacing w:line="560" w:lineRule="exact"/>
        <w:rPr>
          <w:rFonts w:ascii="黑体" w:hAnsi="黑体" w:eastAsia="黑体"/>
          <w:bCs/>
          <w:sz w:val="32"/>
          <w:szCs w:val="32"/>
        </w:rPr>
      </w:pPr>
      <w:r>
        <w:rPr>
          <w:rFonts w:hint="eastAsia" w:ascii="黑体" w:hAnsi="黑体" w:eastAsia="黑体"/>
          <w:bCs/>
          <w:sz w:val="32"/>
          <w:szCs w:val="32"/>
        </w:rPr>
        <w:t xml:space="preserve">附件3-1                   </w:t>
      </w:r>
    </w:p>
    <w:p>
      <w:pPr>
        <w:autoSpaceDE w:val="0"/>
        <w:spacing w:line="560" w:lineRule="exact"/>
        <w:jc w:val="center"/>
        <w:rPr>
          <w:rFonts w:ascii="黑体" w:hAnsi="黑体" w:eastAsia="黑体"/>
          <w:bCs/>
          <w:sz w:val="32"/>
          <w:szCs w:val="32"/>
        </w:rPr>
      </w:pPr>
      <w:r>
        <w:rPr>
          <w:rFonts w:hint="eastAsia" w:ascii="仿宋_GB2312" w:hAnsi="仿宋" w:eastAsia="仿宋_GB2312"/>
          <w:bCs/>
          <w:sz w:val="32"/>
          <w:szCs w:val="32"/>
        </w:rPr>
        <w:t>岱山县“席地能坐”保洁区创建明细表</w:t>
      </w:r>
    </w:p>
    <w:tbl>
      <w:tblPr>
        <w:tblStyle w:val="11"/>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851"/>
        <w:gridCol w:w="1134"/>
        <w:gridCol w:w="3827"/>
        <w:gridCol w:w="1134"/>
        <w:gridCol w:w="1559"/>
        <w:gridCol w:w="1276"/>
        <w:gridCol w:w="1418"/>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点位</w:t>
            </w:r>
            <w:r>
              <w:rPr>
                <w:rFonts w:hint="eastAsia" w:cs="Calibri"/>
                <w:b/>
                <w:bCs/>
                <w:sz w:val="21"/>
                <w:szCs w:val="21"/>
              </w:rPr>
              <w:t>1</w:t>
            </w:r>
          </w:p>
        </w:tc>
        <w:tc>
          <w:tcPr>
            <w:tcW w:w="1134"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创建区域</w:t>
            </w:r>
          </w:p>
        </w:tc>
        <w:tc>
          <w:tcPr>
            <w:tcW w:w="851"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面积</w:t>
            </w:r>
          </w:p>
        </w:tc>
        <w:tc>
          <w:tcPr>
            <w:tcW w:w="1134"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保洁项目</w:t>
            </w:r>
          </w:p>
        </w:tc>
        <w:tc>
          <w:tcPr>
            <w:tcW w:w="3827"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工作内容</w:t>
            </w:r>
          </w:p>
        </w:tc>
        <w:tc>
          <w:tcPr>
            <w:tcW w:w="1134"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保洁人员</w:t>
            </w:r>
          </w:p>
        </w:tc>
        <w:tc>
          <w:tcPr>
            <w:tcW w:w="1559"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作业时段</w:t>
            </w:r>
          </w:p>
        </w:tc>
        <w:tc>
          <w:tcPr>
            <w:tcW w:w="1276"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设施设备</w:t>
            </w:r>
          </w:p>
        </w:tc>
        <w:tc>
          <w:tcPr>
            <w:tcW w:w="1418"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硬件改造</w:t>
            </w:r>
          </w:p>
        </w:tc>
        <w:tc>
          <w:tcPr>
            <w:tcW w:w="1166"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创建类别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pStyle w:val="2"/>
              <w:tabs>
                <w:tab w:val="center" w:pos="4153"/>
                <w:tab w:val="right" w:pos="8306"/>
              </w:tabs>
              <w:snapToGrid w:val="0"/>
              <w:spacing w:line="260" w:lineRule="exact"/>
              <w:ind w:firstLine="0" w:firstLineChars="0"/>
              <w:jc w:val="center"/>
              <w:rPr>
                <w:rFonts w:cs="Calibri"/>
                <w:sz w:val="21"/>
                <w:szCs w:val="21"/>
              </w:rPr>
            </w:pPr>
            <w:r>
              <w:rPr>
                <w:rFonts w:cs="Calibri"/>
                <w:sz w:val="21"/>
                <w:szCs w:val="21"/>
              </w:rPr>
              <w:t>岱山县长途客运中心</w:t>
            </w:r>
          </w:p>
        </w:tc>
        <w:tc>
          <w:tcPr>
            <w:tcW w:w="1134" w:type="dxa"/>
            <w:vMerge w:val="restart"/>
            <w:vAlign w:val="center"/>
          </w:tcPr>
          <w:p>
            <w:pPr>
              <w:pStyle w:val="2"/>
              <w:tabs>
                <w:tab w:val="center" w:pos="4153"/>
                <w:tab w:val="right" w:pos="8306"/>
              </w:tabs>
              <w:snapToGrid w:val="0"/>
              <w:spacing w:line="260" w:lineRule="exact"/>
              <w:ind w:firstLine="0" w:firstLineChars="0"/>
              <w:jc w:val="center"/>
              <w:rPr>
                <w:rFonts w:cs="Calibri"/>
                <w:sz w:val="21"/>
                <w:szCs w:val="21"/>
              </w:rPr>
            </w:pPr>
            <w:r>
              <w:rPr>
                <w:rFonts w:cs="Calibri"/>
                <w:sz w:val="21"/>
                <w:szCs w:val="21"/>
              </w:rPr>
              <w:t>岱山县长途客运中心东南门前空地</w:t>
            </w:r>
          </w:p>
        </w:tc>
        <w:tc>
          <w:tcPr>
            <w:tcW w:w="851" w:type="dxa"/>
            <w:vMerge w:val="restart"/>
            <w:vAlign w:val="center"/>
          </w:tcPr>
          <w:p>
            <w:pPr>
              <w:pStyle w:val="2"/>
              <w:tabs>
                <w:tab w:val="center" w:pos="4153"/>
                <w:tab w:val="right" w:pos="8306"/>
              </w:tabs>
              <w:snapToGrid w:val="0"/>
              <w:spacing w:line="260" w:lineRule="exact"/>
              <w:ind w:firstLine="0" w:firstLineChars="0"/>
              <w:jc w:val="center"/>
              <w:rPr>
                <w:rFonts w:cs="Calibri"/>
                <w:sz w:val="21"/>
                <w:szCs w:val="21"/>
              </w:rPr>
            </w:pPr>
            <w:r>
              <w:rPr>
                <w:rFonts w:hint="eastAsia" w:cs="Calibri"/>
                <w:bCs/>
                <w:sz w:val="21"/>
                <w:szCs w:val="21"/>
              </w:rPr>
              <w:t>500</w:t>
            </w:r>
            <w:r>
              <w:rPr>
                <w:rFonts w:cs="Calibri"/>
                <w:bCs/>
                <w:sz w:val="21"/>
                <w:szCs w:val="21"/>
              </w:rPr>
              <w:t>平方米</w:t>
            </w:r>
          </w:p>
        </w:tc>
        <w:tc>
          <w:tcPr>
            <w:tcW w:w="1134" w:type="dxa"/>
            <w:vMerge w:val="restart"/>
            <w:vAlign w:val="center"/>
          </w:tcPr>
          <w:p>
            <w:pPr>
              <w:tabs>
                <w:tab w:val="center" w:pos="4153"/>
                <w:tab w:val="right" w:pos="8306"/>
              </w:tabs>
              <w:snapToGrid w:val="0"/>
              <w:spacing w:line="260" w:lineRule="exact"/>
              <w:jc w:val="center"/>
              <w:rPr>
                <w:rFonts w:ascii="宋体" w:hAnsi="宋体"/>
              </w:rPr>
            </w:pPr>
            <w:r>
              <w:rPr>
                <w:rFonts w:hint="eastAsia" w:ascii="宋体" w:hAnsi="宋体"/>
              </w:rPr>
              <w:t>地</w:t>
            </w:r>
          </w:p>
          <w:p>
            <w:pPr>
              <w:tabs>
                <w:tab w:val="center" w:pos="4153"/>
                <w:tab w:val="right" w:pos="8306"/>
              </w:tabs>
              <w:snapToGrid w:val="0"/>
              <w:spacing w:line="260" w:lineRule="exact"/>
              <w:jc w:val="center"/>
              <w:rPr>
                <w:rFonts w:ascii="宋体" w:hAnsi="宋体"/>
              </w:rPr>
            </w:pPr>
            <w:r>
              <w:rPr>
                <w:rFonts w:hint="eastAsia" w:ascii="宋体" w:hAnsi="宋体"/>
              </w:rPr>
              <w:t>面</w:t>
            </w:r>
          </w:p>
          <w:p>
            <w:pPr>
              <w:tabs>
                <w:tab w:val="center" w:pos="4153"/>
                <w:tab w:val="right" w:pos="8306"/>
              </w:tabs>
              <w:snapToGrid w:val="0"/>
              <w:spacing w:line="260" w:lineRule="exact"/>
              <w:jc w:val="center"/>
              <w:rPr>
                <w:rFonts w:ascii="宋体" w:hAnsi="宋体"/>
              </w:rPr>
            </w:pPr>
            <w:r>
              <w:rPr>
                <w:rFonts w:hint="eastAsia" w:ascii="宋体" w:hAnsi="宋体"/>
              </w:rPr>
              <w:t>路</w:t>
            </w:r>
          </w:p>
          <w:p>
            <w:pPr>
              <w:tabs>
                <w:tab w:val="center" w:pos="4153"/>
                <w:tab w:val="right" w:pos="8306"/>
              </w:tabs>
              <w:snapToGrid w:val="0"/>
              <w:spacing w:line="260" w:lineRule="exact"/>
              <w:jc w:val="center"/>
              <w:rPr>
                <w:rFonts w:ascii="宋体" w:hAnsi="宋体"/>
              </w:rPr>
            </w:pPr>
            <w:r>
              <w:rPr>
                <w:rFonts w:hint="eastAsia" w:ascii="宋体" w:hAnsi="宋体"/>
              </w:rPr>
              <w:t>面</w:t>
            </w: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地面清扫</w:t>
            </w:r>
          </w:p>
        </w:tc>
        <w:tc>
          <w:tcPr>
            <w:tcW w:w="1134" w:type="dxa"/>
            <w:vMerge w:val="restart"/>
            <w:vAlign w:val="center"/>
          </w:tcPr>
          <w:p>
            <w:pPr>
              <w:pStyle w:val="2"/>
              <w:tabs>
                <w:tab w:val="center" w:pos="4153"/>
                <w:tab w:val="right" w:pos="8306"/>
              </w:tabs>
              <w:snapToGrid w:val="0"/>
              <w:spacing w:line="260" w:lineRule="exact"/>
              <w:ind w:firstLine="0" w:firstLineChars="0"/>
              <w:jc w:val="center"/>
              <w:rPr>
                <w:rFonts w:cs="Calibri"/>
                <w:sz w:val="21"/>
                <w:szCs w:val="21"/>
              </w:rPr>
            </w:pPr>
            <w:r>
              <w:rPr>
                <w:rFonts w:hint="eastAsia" w:cs="Calibri"/>
                <w:sz w:val="21"/>
                <w:szCs w:val="21"/>
              </w:rPr>
              <w:t>1名</w:t>
            </w:r>
          </w:p>
        </w:tc>
        <w:tc>
          <w:tcPr>
            <w:tcW w:w="1559" w:type="dxa"/>
            <w:vMerge w:val="restart"/>
            <w:vAlign w:val="center"/>
          </w:tcPr>
          <w:p>
            <w:pPr>
              <w:pStyle w:val="2"/>
              <w:tabs>
                <w:tab w:val="center" w:pos="4153"/>
                <w:tab w:val="right" w:pos="8306"/>
              </w:tabs>
              <w:snapToGrid w:val="0"/>
              <w:spacing w:line="260" w:lineRule="exact"/>
              <w:ind w:firstLine="0" w:firstLineChars="0"/>
              <w:jc w:val="left"/>
              <w:rPr>
                <w:rFonts w:cs="Calibri"/>
                <w:sz w:val="21"/>
                <w:szCs w:val="21"/>
              </w:rPr>
            </w:pPr>
            <w:r>
              <w:rPr>
                <w:rFonts w:hint="eastAsia" w:cs="Calibri"/>
                <w:sz w:val="21"/>
                <w:szCs w:val="21"/>
              </w:rPr>
              <w:t>08:30-12:00；14:00-17:00</w:t>
            </w:r>
          </w:p>
        </w:tc>
        <w:tc>
          <w:tcPr>
            <w:tcW w:w="1276" w:type="dxa"/>
            <w:vMerge w:val="restart"/>
            <w:vAlign w:val="center"/>
          </w:tcPr>
          <w:p>
            <w:pPr>
              <w:pStyle w:val="2"/>
              <w:tabs>
                <w:tab w:val="center" w:pos="4153"/>
                <w:tab w:val="right" w:pos="8306"/>
              </w:tabs>
              <w:snapToGrid w:val="0"/>
              <w:spacing w:line="260" w:lineRule="exact"/>
              <w:ind w:firstLine="0" w:firstLineChars="0"/>
              <w:jc w:val="left"/>
              <w:rPr>
                <w:rFonts w:cs="Calibri"/>
                <w:sz w:val="21"/>
                <w:szCs w:val="21"/>
              </w:rPr>
            </w:pPr>
            <w:r>
              <w:rPr>
                <w:rFonts w:hint="eastAsia" w:cs="Calibri"/>
                <w:sz w:val="21"/>
                <w:szCs w:val="21"/>
              </w:rPr>
              <w:t>配备专业除胶剂、小铲刀、湿抹布、干抹布、水桶、火钳等专业工具。结合保洁需求，新增采购保洁专用手推车、高压冲洗机、落叶吹风机等机械设备若干。</w:t>
            </w:r>
          </w:p>
        </w:tc>
        <w:tc>
          <w:tcPr>
            <w:tcW w:w="1418" w:type="dxa"/>
            <w:vMerge w:val="restart"/>
            <w:vAlign w:val="center"/>
          </w:tcPr>
          <w:p>
            <w:pPr>
              <w:pStyle w:val="2"/>
              <w:tabs>
                <w:tab w:val="center" w:pos="4153"/>
                <w:tab w:val="right" w:pos="8306"/>
              </w:tabs>
              <w:snapToGrid w:val="0"/>
              <w:spacing w:line="260" w:lineRule="exact"/>
              <w:ind w:firstLine="0" w:firstLineChars="0"/>
              <w:rPr>
                <w:rFonts w:cs="Calibri"/>
                <w:sz w:val="21"/>
                <w:szCs w:val="21"/>
              </w:rPr>
            </w:pPr>
            <w:r>
              <w:rPr>
                <w:rFonts w:hint="eastAsia" w:cs="Calibri"/>
                <w:sz w:val="21"/>
                <w:szCs w:val="21"/>
              </w:rPr>
              <w:t>（1）增设导览图；（2）完成绿植补种</w:t>
            </w:r>
            <w:r>
              <w:rPr>
                <w:rFonts w:hint="eastAsia" w:ascii="仿宋_GB2312" w:hAnsi="黑体" w:eastAsia="仿宋_GB2312" w:cs="Calibri"/>
                <w:sz w:val="32"/>
                <w:szCs w:val="32"/>
              </w:rPr>
              <w:t>。</w:t>
            </w:r>
          </w:p>
        </w:tc>
        <w:tc>
          <w:tcPr>
            <w:tcW w:w="1166" w:type="dxa"/>
            <w:vMerge w:val="restart"/>
            <w:vAlign w:val="center"/>
          </w:tcPr>
          <w:p>
            <w:pPr>
              <w:pStyle w:val="2"/>
              <w:tabs>
                <w:tab w:val="center" w:pos="4153"/>
                <w:tab w:val="right" w:pos="8306"/>
              </w:tabs>
              <w:snapToGrid w:val="0"/>
              <w:spacing w:line="260" w:lineRule="exact"/>
              <w:ind w:firstLine="0" w:firstLineChars="0"/>
              <w:jc w:val="center"/>
              <w:rPr>
                <w:rFonts w:cs="Calibri"/>
                <w:sz w:val="21"/>
                <w:szCs w:val="21"/>
              </w:rPr>
            </w:pPr>
            <w:r>
              <w:rPr>
                <w:rFonts w:cs="Calibri"/>
                <w:sz w:val="21"/>
                <w:szCs w:val="21"/>
              </w:rPr>
              <w:t>客运车站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地面清洗、除污</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地面侧石、台阶清洗</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地面重度油污清洁</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地面机械深度清理</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地面缝隙内青苔、杂草清理</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地面窨井、格栅保洁</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墙角、树围保洁</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雨水井前面清淤、疏通</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restart"/>
            <w:vAlign w:val="center"/>
          </w:tcPr>
          <w:p>
            <w:pPr>
              <w:tabs>
                <w:tab w:val="center" w:pos="4153"/>
                <w:tab w:val="right" w:pos="8306"/>
              </w:tabs>
              <w:snapToGrid w:val="0"/>
              <w:spacing w:line="260" w:lineRule="exact"/>
              <w:jc w:val="center"/>
              <w:rPr>
                <w:rFonts w:ascii="宋体" w:hAnsi="宋体"/>
              </w:rPr>
            </w:pPr>
            <w:r>
              <w:rPr>
                <w:rFonts w:hint="eastAsia" w:ascii="宋体" w:hAnsi="宋体"/>
              </w:rPr>
              <w:t>城</w:t>
            </w:r>
          </w:p>
          <w:p>
            <w:pPr>
              <w:tabs>
                <w:tab w:val="center" w:pos="4153"/>
                <w:tab w:val="right" w:pos="8306"/>
              </w:tabs>
              <w:snapToGrid w:val="0"/>
              <w:spacing w:line="260" w:lineRule="exact"/>
              <w:jc w:val="center"/>
              <w:rPr>
                <w:rFonts w:ascii="宋体" w:hAnsi="宋体"/>
              </w:rPr>
            </w:pPr>
            <w:r>
              <w:rPr>
                <w:rFonts w:hint="eastAsia" w:ascii="宋体" w:hAnsi="宋体"/>
              </w:rPr>
              <w:t>市</w:t>
            </w:r>
          </w:p>
          <w:p>
            <w:pPr>
              <w:tabs>
                <w:tab w:val="center" w:pos="4153"/>
                <w:tab w:val="right" w:pos="8306"/>
              </w:tabs>
              <w:snapToGrid w:val="0"/>
              <w:spacing w:line="260" w:lineRule="exact"/>
              <w:jc w:val="center"/>
              <w:rPr>
                <w:rFonts w:ascii="宋体" w:hAnsi="宋体"/>
              </w:rPr>
            </w:pPr>
            <w:r>
              <w:rPr>
                <w:rFonts w:hint="eastAsia" w:ascii="宋体" w:hAnsi="宋体"/>
              </w:rPr>
              <w:t>家</w:t>
            </w:r>
          </w:p>
          <w:p>
            <w:pPr>
              <w:tabs>
                <w:tab w:val="center" w:pos="4153"/>
                <w:tab w:val="right" w:pos="8306"/>
              </w:tabs>
              <w:snapToGrid w:val="0"/>
              <w:spacing w:line="260" w:lineRule="exact"/>
              <w:jc w:val="center"/>
              <w:rPr>
                <w:rFonts w:ascii="宋体" w:hAnsi="宋体"/>
              </w:rPr>
            </w:pPr>
            <w:r>
              <w:rPr>
                <w:rFonts w:hint="eastAsia" w:ascii="宋体" w:hAnsi="宋体"/>
              </w:rPr>
              <w:t>具</w:t>
            </w: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休闲椅、石凳、花坛边缘擦拭</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果壳箱擦拭，箱内垃圾袋更换</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城市雕塑擦拭</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扶手、拦杆擦拭</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标识标牌、灯柱杆（1.2m以下）擦拭</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指引图、海报宣传栏、消防栓等擦拭</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851"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城市家具蜘蛛网清理</w:t>
            </w: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1559" w:type="dxa"/>
            <w:vMerge w:val="continue"/>
            <w:vAlign w:val="center"/>
          </w:tcPr>
          <w:p>
            <w:pPr>
              <w:tabs>
                <w:tab w:val="center" w:pos="4153"/>
                <w:tab w:val="right" w:pos="8306"/>
              </w:tabs>
              <w:snapToGrid w:val="0"/>
              <w:spacing w:line="260" w:lineRule="exact"/>
              <w:jc w:val="center"/>
              <w:rPr>
                <w:rFonts w:ascii="宋体" w:hAnsi="宋体"/>
              </w:rPr>
            </w:pPr>
          </w:p>
        </w:tc>
        <w:tc>
          <w:tcPr>
            <w:tcW w:w="1276" w:type="dxa"/>
            <w:vMerge w:val="continue"/>
            <w:vAlign w:val="center"/>
          </w:tcPr>
          <w:p>
            <w:pPr>
              <w:tabs>
                <w:tab w:val="center" w:pos="4153"/>
                <w:tab w:val="right" w:pos="8306"/>
              </w:tabs>
              <w:snapToGrid w:val="0"/>
              <w:spacing w:line="260" w:lineRule="exact"/>
              <w:jc w:val="center"/>
              <w:rPr>
                <w:rFonts w:ascii="宋体" w:hAnsi="宋体"/>
              </w:rPr>
            </w:pPr>
          </w:p>
        </w:tc>
        <w:tc>
          <w:tcPr>
            <w:tcW w:w="1418" w:type="dxa"/>
            <w:vMerge w:val="continue"/>
            <w:vAlign w:val="center"/>
          </w:tcPr>
          <w:p>
            <w:pPr>
              <w:tabs>
                <w:tab w:val="center" w:pos="4153"/>
                <w:tab w:val="right" w:pos="8306"/>
              </w:tabs>
              <w:snapToGrid w:val="0"/>
              <w:spacing w:line="260" w:lineRule="exact"/>
              <w:jc w:val="center"/>
              <w:rPr>
                <w:rFonts w:ascii="宋体" w:hAnsi="宋体"/>
              </w:rPr>
            </w:pPr>
          </w:p>
        </w:tc>
        <w:tc>
          <w:tcPr>
            <w:tcW w:w="1166" w:type="dxa"/>
            <w:vMerge w:val="continue"/>
            <w:vAlign w:val="center"/>
          </w:tcPr>
          <w:p>
            <w:pPr>
              <w:tabs>
                <w:tab w:val="center" w:pos="4153"/>
                <w:tab w:val="right" w:pos="8306"/>
              </w:tabs>
              <w:snapToGrid w:val="0"/>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851"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restart"/>
            <w:vAlign w:val="center"/>
          </w:tcPr>
          <w:p>
            <w:pPr>
              <w:tabs>
                <w:tab w:val="center" w:pos="4153"/>
                <w:tab w:val="right" w:pos="8306"/>
              </w:tabs>
              <w:snapToGrid w:val="0"/>
              <w:spacing w:line="260" w:lineRule="exact"/>
              <w:jc w:val="center"/>
              <w:rPr>
                <w:rFonts w:ascii="宋体" w:hAnsi="宋体"/>
              </w:rPr>
            </w:pPr>
            <w:r>
              <w:rPr>
                <w:rFonts w:hint="eastAsia" w:ascii="宋体" w:hAnsi="宋体"/>
              </w:rPr>
              <w:t>绿</w:t>
            </w:r>
          </w:p>
          <w:p>
            <w:pPr>
              <w:tabs>
                <w:tab w:val="center" w:pos="4153"/>
                <w:tab w:val="right" w:pos="8306"/>
              </w:tabs>
              <w:snapToGrid w:val="0"/>
              <w:spacing w:line="260" w:lineRule="exact"/>
              <w:jc w:val="center"/>
              <w:rPr>
                <w:rFonts w:ascii="宋体" w:hAnsi="宋体"/>
              </w:rPr>
            </w:pPr>
            <w:r>
              <w:rPr>
                <w:rFonts w:hint="eastAsia" w:ascii="宋体" w:hAnsi="宋体"/>
              </w:rPr>
              <w:t>化</w:t>
            </w:r>
          </w:p>
          <w:p>
            <w:pPr>
              <w:tabs>
                <w:tab w:val="center" w:pos="4153"/>
                <w:tab w:val="right" w:pos="8306"/>
              </w:tabs>
              <w:snapToGrid w:val="0"/>
              <w:spacing w:line="260" w:lineRule="exact"/>
              <w:jc w:val="center"/>
              <w:rPr>
                <w:rFonts w:ascii="宋体" w:hAnsi="宋体"/>
              </w:rPr>
            </w:pPr>
            <w:r>
              <w:rPr>
                <w:rFonts w:hint="eastAsia" w:ascii="宋体" w:hAnsi="宋体"/>
              </w:rPr>
              <w:t>绿</w:t>
            </w:r>
          </w:p>
          <w:p>
            <w:pPr>
              <w:tabs>
                <w:tab w:val="center" w:pos="4153"/>
                <w:tab w:val="right" w:pos="8306"/>
              </w:tabs>
              <w:snapToGrid w:val="0"/>
              <w:spacing w:line="260" w:lineRule="exact"/>
              <w:jc w:val="center"/>
              <w:rPr>
                <w:rFonts w:ascii="宋体" w:hAnsi="宋体"/>
              </w:rPr>
            </w:pPr>
            <w:r>
              <w:rPr>
                <w:rFonts w:hint="eastAsia" w:ascii="宋体" w:hAnsi="宋体"/>
              </w:rPr>
              <w:t>地</w:t>
            </w: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绿化带、绿地内白色垃圾、烟蒂捡拾</w:t>
            </w: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1559" w:type="dxa"/>
            <w:vMerge w:val="continue"/>
            <w:vAlign w:val="center"/>
          </w:tcPr>
          <w:p>
            <w:pPr>
              <w:tabs>
                <w:tab w:val="center" w:pos="4153"/>
                <w:tab w:val="right" w:pos="8306"/>
              </w:tabs>
              <w:snapToGrid w:val="0"/>
              <w:spacing w:line="260" w:lineRule="exact"/>
              <w:jc w:val="center"/>
              <w:rPr>
                <w:rFonts w:ascii="宋体" w:hAnsi="宋体"/>
              </w:rPr>
            </w:pPr>
          </w:p>
        </w:tc>
        <w:tc>
          <w:tcPr>
            <w:tcW w:w="1276" w:type="dxa"/>
            <w:vMerge w:val="continue"/>
            <w:vAlign w:val="center"/>
          </w:tcPr>
          <w:p>
            <w:pPr>
              <w:tabs>
                <w:tab w:val="center" w:pos="4153"/>
                <w:tab w:val="right" w:pos="8306"/>
              </w:tabs>
              <w:snapToGrid w:val="0"/>
              <w:spacing w:line="260" w:lineRule="exact"/>
              <w:jc w:val="center"/>
              <w:rPr>
                <w:rFonts w:ascii="宋体" w:hAnsi="宋体"/>
              </w:rPr>
            </w:pPr>
          </w:p>
        </w:tc>
        <w:tc>
          <w:tcPr>
            <w:tcW w:w="1418" w:type="dxa"/>
            <w:vMerge w:val="continue"/>
            <w:vAlign w:val="center"/>
          </w:tcPr>
          <w:p>
            <w:pPr>
              <w:tabs>
                <w:tab w:val="center" w:pos="4153"/>
                <w:tab w:val="right" w:pos="8306"/>
              </w:tabs>
              <w:snapToGrid w:val="0"/>
              <w:spacing w:line="260" w:lineRule="exact"/>
              <w:jc w:val="center"/>
              <w:rPr>
                <w:rFonts w:ascii="宋体" w:hAnsi="宋体"/>
              </w:rPr>
            </w:pPr>
          </w:p>
        </w:tc>
        <w:tc>
          <w:tcPr>
            <w:tcW w:w="1166" w:type="dxa"/>
            <w:vMerge w:val="continue"/>
            <w:vAlign w:val="center"/>
          </w:tcPr>
          <w:p>
            <w:pPr>
              <w:tabs>
                <w:tab w:val="center" w:pos="4153"/>
                <w:tab w:val="right" w:pos="8306"/>
              </w:tabs>
              <w:snapToGrid w:val="0"/>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851"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绿化枯枝、死株清理</w:t>
            </w: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1559" w:type="dxa"/>
            <w:vMerge w:val="continue"/>
            <w:vAlign w:val="center"/>
          </w:tcPr>
          <w:p>
            <w:pPr>
              <w:tabs>
                <w:tab w:val="center" w:pos="4153"/>
                <w:tab w:val="right" w:pos="8306"/>
              </w:tabs>
              <w:snapToGrid w:val="0"/>
              <w:spacing w:line="260" w:lineRule="exact"/>
              <w:jc w:val="center"/>
              <w:rPr>
                <w:rFonts w:ascii="宋体" w:hAnsi="宋体"/>
              </w:rPr>
            </w:pPr>
          </w:p>
        </w:tc>
        <w:tc>
          <w:tcPr>
            <w:tcW w:w="1276" w:type="dxa"/>
            <w:vMerge w:val="continue"/>
            <w:vAlign w:val="center"/>
          </w:tcPr>
          <w:p>
            <w:pPr>
              <w:tabs>
                <w:tab w:val="center" w:pos="4153"/>
                <w:tab w:val="right" w:pos="8306"/>
              </w:tabs>
              <w:snapToGrid w:val="0"/>
              <w:spacing w:line="260" w:lineRule="exact"/>
              <w:jc w:val="center"/>
              <w:rPr>
                <w:rFonts w:ascii="宋体" w:hAnsi="宋体"/>
              </w:rPr>
            </w:pPr>
          </w:p>
        </w:tc>
        <w:tc>
          <w:tcPr>
            <w:tcW w:w="1418" w:type="dxa"/>
            <w:vMerge w:val="continue"/>
            <w:vAlign w:val="center"/>
          </w:tcPr>
          <w:p>
            <w:pPr>
              <w:tabs>
                <w:tab w:val="center" w:pos="4153"/>
                <w:tab w:val="right" w:pos="8306"/>
              </w:tabs>
              <w:snapToGrid w:val="0"/>
              <w:spacing w:line="260" w:lineRule="exact"/>
              <w:jc w:val="center"/>
              <w:rPr>
                <w:rFonts w:ascii="宋体" w:hAnsi="宋体"/>
              </w:rPr>
            </w:pPr>
          </w:p>
        </w:tc>
        <w:tc>
          <w:tcPr>
            <w:tcW w:w="1166" w:type="dxa"/>
            <w:vMerge w:val="continue"/>
            <w:vAlign w:val="center"/>
          </w:tcPr>
          <w:p>
            <w:pPr>
              <w:tabs>
                <w:tab w:val="center" w:pos="4153"/>
                <w:tab w:val="right" w:pos="8306"/>
              </w:tabs>
              <w:snapToGrid w:val="0"/>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851"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花坛侧石、立面清洗擦拭、花箱清洁</w:t>
            </w: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1559" w:type="dxa"/>
            <w:vMerge w:val="continue"/>
            <w:vAlign w:val="center"/>
          </w:tcPr>
          <w:p>
            <w:pPr>
              <w:tabs>
                <w:tab w:val="center" w:pos="4153"/>
                <w:tab w:val="right" w:pos="8306"/>
              </w:tabs>
              <w:snapToGrid w:val="0"/>
              <w:spacing w:line="260" w:lineRule="exact"/>
              <w:jc w:val="center"/>
              <w:rPr>
                <w:rFonts w:ascii="宋体" w:hAnsi="宋体"/>
              </w:rPr>
            </w:pPr>
          </w:p>
        </w:tc>
        <w:tc>
          <w:tcPr>
            <w:tcW w:w="1276" w:type="dxa"/>
            <w:vMerge w:val="continue"/>
            <w:vAlign w:val="center"/>
          </w:tcPr>
          <w:p>
            <w:pPr>
              <w:tabs>
                <w:tab w:val="center" w:pos="4153"/>
                <w:tab w:val="right" w:pos="8306"/>
              </w:tabs>
              <w:snapToGrid w:val="0"/>
              <w:spacing w:line="260" w:lineRule="exact"/>
              <w:jc w:val="center"/>
              <w:rPr>
                <w:rFonts w:ascii="宋体" w:hAnsi="宋体"/>
              </w:rPr>
            </w:pPr>
          </w:p>
        </w:tc>
        <w:tc>
          <w:tcPr>
            <w:tcW w:w="1418" w:type="dxa"/>
            <w:vMerge w:val="continue"/>
            <w:vAlign w:val="center"/>
          </w:tcPr>
          <w:p>
            <w:pPr>
              <w:tabs>
                <w:tab w:val="center" w:pos="4153"/>
                <w:tab w:val="right" w:pos="8306"/>
              </w:tabs>
              <w:snapToGrid w:val="0"/>
              <w:spacing w:line="260" w:lineRule="exact"/>
              <w:jc w:val="center"/>
              <w:rPr>
                <w:rFonts w:ascii="宋体" w:hAnsi="宋体"/>
              </w:rPr>
            </w:pPr>
          </w:p>
        </w:tc>
        <w:tc>
          <w:tcPr>
            <w:tcW w:w="1166" w:type="dxa"/>
            <w:vMerge w:val="continue"/>
            <w:vAlign w:val="center"/>
          </w:tcPr>
          <w:p>
            <w:pPr>
              <w:tabs>
                <w:tab w:val="center" w:pos="4153"/>
                <w:tab w:val="right" w:pos="8306"/>
              </w:tabs>
              <w:snapToGrid w:val="0"/>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851"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绿植表面冲洗</w:t>
            </w: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1559" w:type="dxa"/>
            <w:vMerge w:val="continue"/>
            <w:vAlign w:val="center"/>
          </w:tcPr>
          <w:p>
            <w:pPr>
              <w:tabs>
                <w:tab w:val="center" w:pos="4153"/>
                <w:tab w:val="right" w:pos="8306"/>
              </w:tabs>
              <w:snapToGrid w:val="0"/>
              <w:spacing w:line="260" w:lineRule="exact"/>
              <w:jc w:val="center"/>
              <w:rPr>
                <w:rFonts w:ascii="宋体" w:hAnsi="宋体"/>
              </w:rPr>
            </w:pPr>
          </w:p>
        </w:tc>
        <w:tc>
          <w:tcPr>
            <w:tcW w:w="1276" w:type="dxa"/>
            <w:vMerge w:val="continue"/>
            <w:vAlign w:val="center"/>
          </w:tcPr>
          <w:p>
            <w:pPr>
              <w:tabs>
                <w:tab w:val="center" w:pos="4153"/>
                <w:tab w:val="right" w:pos="8306"/>
              </w:tabs>
              <w:snapToGrid w:val="0"/>
              <w:spacing w:line="260" w:lineRule="exact"/>
              <w:jc w:val="center"/>
              <w:rPr>
                <w:rFonts w:ascii="宋体" w:hAnsi="宋体"/>
              </w:rPr>
            </w:pPr>
          </w:p>
        </w:tc>
        <w:tc>
          <w:tcPr>
            <w:tcW w:w="1418" w:type="dxa"/>
            <w:vMerge w:val="continue"/>
            <w:vAlign w:val="center"/>
          </w:tcPr>
          <w:p>
            <w:pPr>
              <w:tabs>
                <w:tab w:val="center" w:pos="4153"/>
                <w:tab w:val="right" w:pos="8306"/>
              </w:tabs>
              <w:snapToGrid w:val="0"/>
              <w:spacing w:line="260" w:lineRule="exact"/>
              <w:jc w:val="center"/>
              <w:rPr>
                <w:rFonts w:ascii="宋体" w:hAnsi="宋体"/>
              </w:rPr>
            </w:pPr>
          </w:p>
        </w:tc>
        <w:tc>
          <w:tcPr>
            <w:tcW w:w="1166" w:type="dxa"/>
            <w:vMerge w:val="continue"/>
            <w:vAlign w:val="center"/>
          </w:tcPr>
          <w:p>
            <w:pPr>
              <w:tabs>
                <w:tab w:val="center" w:pos="4153"/>
                <w:tab w:val="right" w:pos="8306"/>
              </w:tabs>
              <w:snapToGrid w:val="0"/>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851"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雨水明沟垃圾清理、疏通</w:t>
            </w: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1559" w:type="dxa"/>
            <w:vMerge w:val="continue"/>
            <w:vAlign w:val="center"/>
          </w:tcPr>
          <w:p>
            <w:pPr>
              <w:tabs>
                <w:tab w:val="center" w:pos="4153"/>
                <w:tab w:val="right" w:pos="8306"/>
              </w:tabs>
              <w:snapToGrid w:val="0"/>
              <w:spacing w:line="260" w:lineRule="exact"/>
              <w:jc w:val="center"/>
              <w:rPr>
                <w:rFonts w:ascii="宋体" w:hAnsi="宋体"/>
              </w:rPr>
            </w:pPr>
          </w:p>
        </w:tc>
        <w:tc>
          <w:tcPr>
            <w:tcW w:w="1276" w:type="dxa"/>
            <w:vMerge w:val="continue"/>
            <w:vAlign w:val="center"/>
          </w:tcPr>
          <w:p>
            <w:pPr>
              <w:tabs>
                <w:tab w:val="center" w:pos="4153"/>
                <w:tab w:val="right" w:pos="8306"/>
              </w:tabs>
              <w:snapToGrid w:val="0"/>
              <w:spacing w:line="260" w:lineRule="exact"/>
              <w:jc w:val="center"/>
              <w:rPr>
                <w:rFonts w:ascii="宋体" w:hAnsi="宋体"/>
              </w:rPr>
            </w:pPr>
          </w:p>
        </w:tc>
        <w:tc>
          <w:tcPr>
            <w:tcW w:w="1418" w:type="dxa"/>
            <w:vMerge w:val="continue"/>
            <w:vAlign w:val="center"/>
          </w:tcPr>
          <w:p>
            <w:pPr>
              <w:tabs>
                <w:tab w:val="center" w:pos="4153"/>
                <w:tab w:val="right" w:pos="8306"/>
              </w:tabs>
              <w:snapToGrid w:val="0"/>
              <w:spacing w:line="260" w:lineRule="exact"/>
              <w:jc w:val="center"/>
              <w:rPr>
                <w:rFonts w:ascii="宋体" w:hAnsi="宋体"/>
              </w:rPr>
            </w:pPr>
          </w:p>
        </w:tc>
        <w:tc>
          <w:tcPr>
            <w:tcW w:w="1166" w:type="dxa"/>
            <w:vMerge w:val="continue"/>
            <w:vAlign w:val="center"/>
          </w:tcPr>
          <w:p>
            <w:pPr>
              <w:tabs>
                <w:tab w:val="center" w:pos="4153"/>
                <w:tab w:val="right" w:pos="8306"/>
              </w:tabs>
              <w:snapToGrid w:val="0"/>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sz w:val="18"/>
              </w:rPr>
            </w:pPr>
          </w:p>
        </w:tc>
        <w:tc>
          <w:tcPr>
            <w:tcW w:w="1134" w:type="dxa"/>
            <w:vMerge w:val="continue"/>
            <w:vAlign w:val="center"/>
          </w:tcPr>
          <w:p>
            <w:pPr>
              <w:tabs>
                <w:tab w:val="center" w:pos="4153"/>
                <w:tab w:val="right" w:pos="8306"/>
              </w:tabs>
              <w:snapToGrid w:val="0"/>
              <w:spacing w:line="260" w:lineRule="exact"/>
              <w:jc w:val="center"/>
              <w:rPr>
                <w:rFonts w:ascii="宋体" w:hAnsi="宋体"/>
                <w:sz w:val="18"/>
              </w:rPr>
            </w:pPr>
          </w:p>
        </w:tc>
        <w:tc>
          <w:tcPr>
            <w:tcW w:w="851" w:type="dxa"/>
            <w:vMerge w:val="continue"/>
            <w:vAlign w:val="center"/>
          </w:tcPr>
          <w:p>
            <w:pPr>
              <w:tabs>
                <w:tab w:val="center" w:pos="4153"/>
                <w:tab w:val="right" w:pos="8306"/>
              </w:tabs>
              <w:snapToGrid w:val="0"/>
              <w:spacing w:line="260" w:lineRule="exact"/>
              <w:jc w:val="center"/>
              <w:rPr>
                <w:rFonts w:ascii="宋体" w:hAnsi="宋体"/>
                <w:sz w:val="18"/>
              </w:rPr>
            </w:pPr>
          </w:p>
        </w:tc>
        <w:tc>
          <w:tcPr>
            <w:tcW w:w="1134" w:type="dxa"/>
            <w:vMerge w:val="restart"/>
            <w:vAlign w:val="center"/>
          </w:tcPr>
          <w:p>
            <w:pPr>
              <w:tabs>
                <w:tab w:val="center" w:pos="4153"/>
                <w:tab w:val="right" w:pos="8306"/>
              </w:tabs>
              <w:snapToGrid w:val="0"/>
              <w:spacing w:line="260" w:lineRule="exact"/>
              <w:jc w:val="center"/>
              <w:rPr>
                <w:rFonts w:ascii="宋体" w:hAnsi="宋体"/>
              </w:rPr>
            </w:pPr>
            <w:r>
              <w:rPr>
                <w:rFonts w:hint="eastAsia" w:ascii="宋体" w:hAnsi="宋体"/>
              </w:rPr>
              <w:t>环</w:t>
            </w:r>
          </w:p>
          <w:p>
            <w:pPr>
              <w:tabs>
                <w:tab w:val="center" w:pos="4153"/>
                <w:tab w:val="right" w:pos="8306"/>
              </w:tabs>
              <w:snapToGrid w:val="0"/>
              <w:spacing w:line="260" w:lineRule="exact"/>
              <w:jc w:val="center"/>
              <w:rPr>
                <w:rFonts w:ascii="宋体" w:hAnsi="宋体"/>
              </w:rPr>
            </w:pPr>
            <w:r>
              <w:rPr>
                <w:rFonts w:hint="eastAsia" w:ascii="宋体" w:hAnsi="宋体"/>
              </w:rPr>
              <w:t>卫</w:t>
            </w:r>
          </w:p>
          <w:p>
            <w:pPr>
              <w:tabs>
                <w:tab w:val="center" w:pos="4153"/>
                <w:tab w:val="right" w:pos="8306"/>
              </w:tabs>
              <w:snapToGrid w:val="0"/>
              <w:spacing w:line="260" w:lineRule="exact"/>
              <w:jc w:val="center"/>
              <w:rPr>
                <w:rFonts w:ascii="宋体" w:hAnsi="宋体"/>
              </w:rPr>
            </w:pPr>
            <w:r>
              <w:rPr>
                <w:rFonts w:hint="eastAsia" w:ascii="宋体" w:hAnsi="宋体"/>
              </w:rPr>
              <w:t>设</w:t>
            </w:r>
          </w:p>
          <w:p>
            <w:pPr>
              <w:tabs>
                <w:tab w:val="center" w:pos="4153"/>
                <w:tab w:val="right" w:pos="8306"/>
              </w:tabs>
              <w:snapToGrid w:val="0"/>
              <w:spacing w:line="260" w:lineRule="exact"/>
              <w:jc w:val="center"/>
              <w:rPr>
                <w:rFonts w:ascii="方正黑体简体" w:eastAsia="方正黑体简体"/>
                <w:sz w:val="18"/>
              </w:rPr>
            </w:pPr>
            <w:r>
              <w:rPr>
                <w:rFonts w:hint="eastAsia" w:ascii="宋体" w:hAnsi="宋体"/>
              </w:rPr>
              <w:t>施</w:t>
            </w: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果壳箱不满溢</w:t>
            </w:r>
          </w:p>
        </w:tc>
        <w:tc>
          <w:tcPr>
            <w:tcW w:w="1134" w:type="dxa"/>
            <w:vMerge w:val="continue"/>
            <w:vAlign w:val="center"/>
          </w:tcPr>
          <w:p>
            <w:pPr>
              <w:tabs>
                <w:tab w:val="center" w:pos="4153"/>
                <w:tab w:val="right" w:pos="8306"/>
              </w:tabs>
              <w:snapToGrid w:val="0"/>
              <w:spacing w:line="260" w:lineRule="exact"/>
              <w:jc w:val="center"/>
              <w:rPr>
                <w:rFonts w:ascii="宋体" w:hAnsi="宋体"/>
                <w:sz w:val="18"/>
              </w:rPr>
            </w:pPr>
          </w:p>
        </w:tc>
        <w:tc>
          <w:tcPr>
            <w:tcW w:w="1559" w:type="dxa"/>
            <w:vMerge w:val="continue"/>
            <w:vAlign w:val="center"/>
          </w:tcPr>
          <w:p>
            <w:pPr>
              <w:tabs>
                <w:tab w:val="center" w:pos="4153"/>
                <w:tab w:val="right" w:pos="8306"/>
              </w:tabs>
              <w:snapToGrid w:val="0"/>
              <w:spacing w:line="260" w:lineRule="exact"/>
              <w:jc w:val="center"/>
              <w:rPr>
                <w:rFonts w:ascii="宋体" w:hAnsi="宋体"/>
                <w:sz w:val="18"/>
              </w:rPr>
            </w:pPr>
          </w:p>
        </w:tc>
        <w:tc>
          <w:tcPr>
            <w:tcW w:w="1276" w:type="dxa"/>
            <w:vMerge w:val="continue"/>
            <w:vAlign w:val="center"/>
          </w:tcPr>
          <w:p>
            <w:pPr>
              <w:tabs>
                <w:tab w:val="center" w:pos="4153"/>
                <w:tab w:val="right" w:pos="8306"/>
              </w:tabs>
              <w:snapToGrid w:val="0"/>
              <w:spacing w:line="260" w:lineRule="exact"/>
              <w:jc w:val="center"/>
              <w:rPr>
                <w:rFonts w:ascii="宋体" w:hAnsi="宋体"/>
                <w:sz w:val="18"/>
              </w:rPr>
            </w:pPr>
          </w:p>
        </w:tc>
        <w:tc>
          <w:tcPr>
            <w:tcW w:w="1418" w:type="dxa"/>
            <w:vMerge w:val="continue"/>
            <w:vAlign w:val="center"/>
          </w:tcPr>
          <w:p>
            <w:pPr>
              <w:tabs>
                <w:tab w:val="center" w:pos="4153"/>
                <w:tab w:val="right" w:pos="8306"/>
              </w:tabs>
              <w:snapToGrid w:val="0"/>
              <w:spacing w:line="260" w:lineRule="exact"/>
              <w:jc w:val="center"/>
              <w:rPr>
                <w:rFonts w:ascii="宋体" w:hAnsi="宋体"/>
                <w:sz w:val="18"/>
              </w:rPr>
            </w:pPr>
          </w:p>
        </w:tc>
        <w:tc>
          <w:tcPr>
            <w:tcW w:w="1166" w:type="dxa"/>
            <w:vMerge w:val="continue"/>
            <w:vAlign w:val="center"/>
          </w:tcPr>
          <w:p>
            <w:pPr>
              <w:tabs>
                <w:tab w:val="center" w:pos="4153"/>
                <w:tab w:val="right" w:pos="8306"/>
              </w:tabs>
              <w:snapToGrid w:val="0"/>
              <w:spacing w:line="26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sz w:val="18"/>
              </w:rPr>
            </w:pPr>
          </w:p>
        </w:tc>
        <w:tc>
          <w:tcPr>
            <w:tcW w:w="1134" w:type="dxa"/>
            <w:vMerge w:val="continue"/>
            <w:vAlign w:val="center"/>
          </w:tcPr>
          <w:p>
            <w:pPr>
              <w:tabs>
                <w:tab w:val="center" w:pos="4153"/>
                <w:tab w:val="right" w:pos="8306"/>
              </w:tabs>
              <w:snapToGrid w:val="0"/>
              <w:spacing w:line="260" w:lineRule="exact"/>
              <w:jc w:val="center"/>
              <w:rPr>
                <w:rFonts w:ascii="宋体" w:hAnsi="宋体"/>
                <w:sz w:val="18"/>
              </w:rPr>
            </w:pPr>
          </w:p>
        </w:tc>
        <w:tc>
          <w:tcPr>
            <w:tcW w:w="851" w:type="dxa"/>
            <w:vMerge w:val="continue"/>
            <w:vAlign w:val="center"/>
          </w:tcPr>
          <w:p>
            <w:pPr>
              <w:tabs>
                <w:tab w:val="center" w:pos="4153"/>
                <w:tab w:val="right" w:pos="8306"/>
              </w:tabs>
              <w:snapToGrid w:val="0"/>
              <w:spacing w:line="260" w:lineRule="exact"/>
              <w:jc w:val="center"/>
              <w:rPr>
                <w:rFonts w:ascii="宋体" w:hAnsi="宋体"/>
                <w:sz w:val="18"/>
              </w:rPr>
            </w:pPr>
          </w:p>
        </w:tc>
        <w:tc>
          <w:tcPr>
            <w:tcW w:w="1134" w:type="dxa"/>
            <w:vMerge w:val="continue"/>
            <w:vAlign w:val="center"/>
          </w:tcPr>
          <w:p>
            <w:pPr>
              <w:tabs>
                <w:tab w:val="center" w:pos="4153"/>
                <w:tab w:val="right" w:pos="8306"/>
              </w:tabs>
              <w:snapToGrid w:val="0"/>
              <w:spacing w:line="260" w:lineRule="exact"/>
              <w:jc w:val="center"/>
              <w:rPr>
                <w:rFonts w:ascii="方正黑体简体" w:eastAsia="方正黑体简体"/>
                <w:sz w:val="18"/>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果壳箱日常清洗</w:t>
            </w:r>
          </w:p>
        </w:tc>
        <w:tc>
          <w:tcPr>
            <w:tcW w:w="1134" w:type="dxa"/>
            <w:vMerge w:val="continue"/>
            <w:vAlign w:val="center"/>
          </w:tcPr>
          <w:p>
            <w:pPr>
              <w:tabs>
                <w:tab w:val="center" w:pos="4153"/>
                <w:tab w:val="right" w:pos="8306"/>
              </w:tabs>
              <w:snapToGrid w:val="0"/>
              <w:spacing w:line="260" w:lineRule="exact"/>
              <w:jc w:val="center"/>
              <w:rPr>
                <w:rFonts w:ascii="宋体" w:hAnsi="宋体"/>
                <w:sz w:val="18"/>
              </w:rPr>
            </w:pPr>
          </w:p>
        </w:tc>
        <w:tc>
          <w:tcPr>
            <w:tcW w:w="1559" w:type="dxa"/>
            <w:vMerge w:val="continue"/>
            <w:vAlign w:val="center"/>
          </w:tcPr>
          <w:p>
            <w:pPr>
              <w:tabs>
                <w:tab w:val="center" w:pos="4153"/>
                <w:tab w:val="right" w:pos="8306"/>
              </w:tabs>
              <w:snapToGrid w:val="0"/>
              <w:spacing w:line="260" w:lineRule="exact"/>
              <w:jc w:val="center"/>
              <w:rPr>
                <w:rFonts w:ascii="宋体" w:hAnsi="宋体"/>
                <w:sz w:val="18"/>
              </w:rPr>
            </w:pPr>
          </w:p>
        </w:tc>
        <w:tc>
          <w:tcPr>
            <w:tcW w:w="1276" w:type="dxa"/>
            <w:vMerge w:val="continue"/>
            <w:vAlign w:val="center"/>
          </w:tcPr>
          <w:p>
            <w:pPr>
              <w:tabs>
                <w:tab w:val="center" w:pos="4153"/>
                <w:tab w:val="right" w:pos="8306"/>
              </w:tabs>
              <w:snapToGrid w:val="0"/>
              <w:spacing w:line="260" w:lineRule="exact"/>
              <w:jc w:val="center"/>
              <w:rPr>
                <w:rFonts w:ascii="宋体" w:hAnsi="宋体"/>
                <w:sz w:val="18"/>
              </w:rPr>
            </w:pPr>
          </w:p>
        </w:tc>
        <w:tc>
          <w:tcPr>
            <w:tcW w:w="1418" w:type="dxa"/>
            <w:vMerge w:val="continue"/>
            <w:vAlign w:val="center"/>
          </w:tcPr>
          <w:p>
            <w:pPr>
              <w:tabs>
                <w:tab w:val="center" w:pos="4153"/>
                <w:tab w:val="right" w:pos="8306"/>
              </w:tabs>
              <w:snapToGrid w:val="0"/>
              <w:spacing w:line="260" w:lineRule="exact"/>
              <w:jc w:val="center"/>
              <w:rPr>
                <w:rFonts w:ascii="宋体" w:hAnsi="宋体"/>
                <w:sz w:val="18"/>
              </w:rPr>
            </w:pPr>
          </w:p>
        </w:tc>
        <w:tc>
          <w:tcPr>
            <w:tcW w:w="1166" w:type="dxa"/>
            <w:vMerge w:val="continue"/>
            <w:vAlign w:val="center"/>
          </w:tcPr>
          <w:p>
            <w:pPr>
              <w:tabs>
                <w:tab w:val="center" w:pos="4153"/>
                <w:tab w:val="right" w:pos="8306"/>
              </w:tabs>
              <w:snapToGrid w:val="0"/>
              <w:spacing w:line="26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sz w:val="18"/>
              </w:rPr>
            </w:pPr>
          </w:p>
        </w:tc>
        <w:tc>
          <w:tcPr>
            <w:tcW w:w="1134" w:type="dxa"/>
            <w:vMerge w:val="continue"/>
            <w:vAlign w:val="center"/>
          </w:tcPr>
          <w:p>
            <w:pPr>
              <w:tabs>
                <w:tab w:val="center" w:pos="4153"/>
                <w:tab w:val="right" w:pos="8306"/>
              </w:tabs>
              <w:snapToGrid w:val="0"/>
              <w:spacing w:line="260" w:lineRule="exact"/>
              <w:jc w:val="center"/>
              <w:rPr>
                <w:rFonts w:ascii="宋体" w:hAnsi="宋体"/>
                <w:sz w:val="18"/>
              </w:rPr>
            </w:pPr>
          </w:p>
        </w:tc>
        <w:tc>
          <w:tcPr>
            <w:tcW w:w="851" w:type="dxa"/>
            <w:vMerge w:val="continue"/>
            <w:vAlign w:val="center"/>
          </w:tcPr>
          <w:p>
            <w:pPr>
              <w:tabs>
                <w:tab w:val="center" w:pos="4153"/>
                <w:tab w:val="right" w:pos="8306"/>
              </w:tabs>
              <w:snapToGrid w:val="0"/>
              <w:spacing w:line="260" w:lineRule="exact"/>
              <w:jc w:val="center"/>
              <w:rPr>
                <w:rFonts w:ascii="宋体" w:hAnsi="宋体"/>
                <w:sz w:val="18"/>
              </w:rPr>
            </w:pPr>
          </w:p>
        </w:tc>
        <w:tc>
          <w:tcPr>
            <w:tcW w:w="1134" w:type="dxa"/>
            <w:vMerge w:val="continue"/>
            <w:vAlign w:val="center"/>
          </w:tcPr>
          <w:p>
            <w:pPr>
              <w:tabs>
                <w:tab w:val="center" w:pos="4153"/>
                <w:tab w:val="right" w:pos="8306"/>
              </w:tabs>
              <w:snapToGrid w:val="0"/>
              <w:spacing w:line="260" w:lineRule="exact"/>
              <w:jc w:val="center"/>
              <w:rPr>
                <w:rFonts w:ascii="方正黑体简体" w:eastAsia="方正黑体简体"/>
                <w:sz w:val="18"/>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果壳箱深度清洗</w:t>
            </w:r>
          </w:p>
        </w:tc>
        <w:tc>
          <w:tcPr>
            <w:tcW w:w="1134" w:type="dxa"/>
            <w:vMerge w:val="continue"/>
            <w:vAlign w:val="center"/>
          </w:tcPr>
          <w:p>
            <w:pPr>
              <w:tabs>
                <w:tab w:val="center" w:pos="4153"/>
                <w:tab w:val="right" w:pos="8306"/>
              </w:tabs>
              <w:snapToGrid w:val="0"/>
              <w:spacing w:line="260" w:lineRule="exact"/>
              <w:jc w:val="center"/>
              <w:rPr>
                <w:rFonts w:ascii="宋体" w:hAnsi="宋体"/>
                <w:sz w:val="18"/>
              </w:rPr>
            </w:pPr>
          </w:p>
        </w:tc>
        <w:tc>
          <w:tcPr>
            <w:tcW w:w="1559" w:type="dxa"/>
            <w:vMerge w:val="continue"/>
            <w:vAlign w:val="center"/>
          </w:tcPr>
          <w:p>
            <w:pPr>
              <w:tabs>
                <w:tab w:val="center" w:pos="4153"/>
                <w:tab w:val="right" w:pos="8306"/>
              </w:tabs>
              <w:snapToGrid w:val="0"/>
              <w:spacing w:line="260" w:lineRule="exact"/>
              <w:jc w:val="center"/>
              <w:rPr>
                <w:rFonts w:ascii="宋体" w:hAnsi="宋体"/>
                <w:sz w:val="18"/>
              </w:rPr>
            </w:pPr>
          </w:p>
        </w:tc>
        <w:tc>
          <w:tcPr>
            <w:tcW w:w="1276" w:type="dxa"/>
            <w:vMerge w:val="continue"/>
            <w:vAlign w:val="center"/>
          </w:tcPr>
          <w:p>
            <w:pPr>
              <w:tabs>
                <w:tab w:val="center" w:pos="4153"/>
                <w:tab w:val="right" w:pos="8306"/>
              </w:tabs>
              <w:snapToGrid w:val="0"/>
              <w:spacing w:line="260" w:lineRule="exact"/>
              <w:jc w:val="center"/>
              <w:rPr>
                <w:rFonts w:ascii="宋体" w:hAnsi="宋体"/>
                <w:sz w:val="18"/>
              </w:rPr>
            </w:pPr>
          </w:p>
        </w:tc>
        <w:tc>
          <w:tcPr>
            <w:tcW w:w="1418" w:type="dxa"/>
            <w:vMerge w:val="continue"/>
            <w:vAlign w:val="center"/>
          </w:tcPr>
          <w:p>
            <w:pPr>
              <w:tabs>
                <w:tab w:val="center" w:pos="4153"/>
                <w:tab w:val="right" w:pos="8306"/>
              </w:tabs>
              <w:snapToGrid w:val="0"/>
              <w:spacing w:line="260" w:lineRule="exact"/>
              <w:jc w:val="center"/>
              <w:rPr>
                <w:rFonts w:ascii="宋体" w:hAnsi="宋体"/>
                <w:sz w:val="18"/>
              </w:rPr>
            </w:pPr>
          </w:p>
        </w:tc>
        <w:tc>
          <w:tcPr>
            <w:tcW w:w="1166" w:type="dxa"/>
            <w:vMerge w:val="continue"/>
            <w:vAlign w:val="center"/>
          </w:tcPr>
          <w:p>
            <w:pPr>
              <w:tabs>
                <w:tab w:val="center" w:pos="4153"/>
                <w:tab w:val="right" w:pos="8306"/>
              </w:tabs>
              <w:snapToGrid w:val="0"/>
              <w:spacing w:line="260" w:lineRule="exact"/>
              <w:jc w:val="center"/>
              <w:rPr>
                <w:rFonts w:ascii="宋体" w:hAnsi="宋体"/>
                <w:sz w:val="18"/>
              </w:rPr>
            </w:pPr>
          </w:p>
        </w:tc>
      </w:tr>
    </w:tbl>
    <w:p>
      <w:pPr>
        <w:pStyle w:val="2"/>
        <w:spacing w:line="220" w:lineRule="exact"/>
        <w:ind w:firstLine="0" w:firstLineChars="0"/>
        <w:rPr>
          <w:rFonts w:cs="Calibri"/>
          <w:bCs/>
          <w:sz w:val="21"/>
          <w:szCs w:val="21"/>
        </w:rPr>
      </w:pPr>
    </w:p>
    <w:p>
      <w:pPr>
        <w:autoSpaceDE w:val="0"/>
        <w:spacing w:line="560" w:lineRule="exact"/>
        <w:rPr>
          <w:rFonts w:ascii="黑体" w:hAnsi="黑体" w:eastAsia="黑体"/>
          <w:bCs/>
          <w:sz w:val="32"/>
          <w:szCs w:val="32"/>
        </w:rPr>
      </w:pPr>
      <w:r>
        <w:rPr>
          <w:rFonts w:hint="eastAsia" w:ascii="黑体" w:hAnsi="黑体" w:eastAsia="黑体"/>
          <w:bCs/>
          <w:sz w:val="32"/>
          <w:szCs w:val="32"/>
        </w:rPr>
        <w:t xml:space="preserve">                        </w:t>
      </w:r>
      <w:r>
        <w:rPr>
          <w:rFonts w:hint="eastAsia" w:ascii="仿宋_GB2312" w:hAnsi="仿宋" w:eastAsia="仿宋_GB2312"/>
          <w:bCs/>
          <w:sz w:val="32"/>
          <w:szCs w:val="32"/>
        </w:rPr>
        <w:t>岱山县“席地能坐”保洁区创建明细表</w:t>
      </w:r>
    </w:p>
    <w:tbl>
      <w:tblPr>
        <w:tblStyle w:val="11"/>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851"/>
        <w:gridCol w:w="1134"/>
        <w:gridCol w:w="3827"/>
        <w:gridCol w:w="1134"/>
        <w:gridCol w:w="1559"/>
        <w:gridCol w:w="1276"/>
        <w:gridCol w:w="1418"/>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2"/>
              <w:tabs>
                <w:tab w:val="center" w:pos="4153"/>
                <w:tab w:val="right" w:pos="8306"/>
              </w:tabs>
              <w:snapToGrid w:val="0"/>
              <w:spacing w:line="240" w:lineRule="exact"/>
              <w:ind w:firstLine="0" w:firstLineChars="0"/>
              <w:jc w:val="center"/>
              <w:rPr>
                <w:rFonts w:cs="Calibri"/>
                <w:b/>
                <w:bCs/>
                <w:sz w:val="21"/>
                <w:szCs w:val="21"/>
              </w:rPr>
            </w:pPr>
            <w:r>
              <w:rPr>
                <w:rFonts w:cs="Calibri"/>
                <w:b/>
                <w:bCs/>
                <w:sz w:val="21"/>
                <w:szCs w:val="21"/>
              </w:rPr>
              <w:t>点位</w:t>
            </w:r>
            <w:r>
              <w:rPr>
                <w:rFonts w:hint="eastAsia" w:cs="Calibri"/>
                <w:b/>
                <w:bCs/>
                <w:sz w:val="21"/>
                <w:szCs w:val="21"/>
              </w:rPr>
              <w:t>2</w:t>
            </w:r>
          </w:p>
        </w:tc>
        <w:tc>
          <w:tcPr>
            <w:tcW w:w="1134" w:type="dxa"/>
            <w:vAlign w:val="center"/>
          </w:tcPr>
          <w:p>
            <w:pPr>
              <w:pStyle w:val="2"/>
              <w:tabs>
                <w:tab w:val="center" w:pos="4153"/>
                <w:tab w:val="right" w:pos="8306"/>
              </w:tabs>
              <w:snapToGrid w:val="0"/>
              <w:spacing w:line="240" w:lineRule="exact"/>
              <w:ind w:firstLine="0" w:firstLineChars="0"/>
              <w:jc w:val="center"/>
              <w:rPr>
                <w:rFonts w:cs="Calibri"/>
                <w:b/>
                <w:bCs/>
                <w:sz w:val="21"/>
                <w:szCs w:val="21"/>
              </w:rPr>
            </w:pPr>
            <w:r>
              <w:rPr>
                <w:rFonts w:cs="Calibri"/>
                <w:b/>
                <w:bCs/>
                <w:sz w:val="21"/>
                <w:szCs w:val="21"/>
              </w:rPr>
              <w:t>创建区域</w:t>
            </w:r>
          </w:p>
        </w:tc>
        <w:tc>
          <w:tcPr>
            <w:tcW w:w="851" w:type="dxa"/>
            <w:vAlign w:val="center"/>
          </w:tcPr>
          <w:p>
            <w:pPr>
              <w:pStyle w:val="2"/>
              <w:tabs>
                <w:tab w:val="center" w:pos="4153"/>
                <w:tab w:val="right" w:pos="8306"/>
              </w:tabs>
              <w:snapToGrid w:val="0"/>
              <w:spacing w:line="240" w:lineRule="exact"/>
              <w:ind w:firstLine="0" w:firstLineChars="0"/>
              <w:jc w:val="center"/>
              <w:rPr>
                <w:rFonts w:cs="Calibri"/>
                <w:b/>
                <w:bCs/>
                <w:sz w:val="21"/>
                <w:szCs w:val="21"/>
              </w:rPr>
            </w:pPr>
            <w:r>
              <w:rPr>
                <w:rFonts w:cs="Calibri"/>
                <w:b/>
                <w:bCs/>
                <w:sz w:val="21"/>
                <w:szCs w:val="21"/>
              </w:rPr>
              <w:t>面积</w:t>
            </w:r>
          </w:p>
        </w:tc>
        <w:tc>
          <w:tcPr>
            <w:tcW w:w="1134" w:type="dxa"/>
            <w:vAlign w:val="center"/>
          </w:tcPr>
          <w:p>
            <w:pPr>
              <w:pStyle w:val="2"/>
              <w:tabs>
                <w:tab w:val="center" w:pos="4153"/>
                <w:tab w:val="right" w:pos="8306"/>
              </w:tabs>
              <w:snapToGrid w:val="0"/>
              <w:spacing w:line="240" w:lineRule="exact"/>
              <w:ind w:firstLine="0" w:firstLineChars="0"/>
              <w:jc w:val="center"/>
              <w:rPr>
                <w:rFonts w:cs="Calibri"/>
                <w:b/>
                <w:bCs/>
                <w:sz w:val="21"/>
                <w:szCs w:val="21"/>
              </w:rPr>
            </w:pPr>
            <w:r>
              <w:rPr>
                <w:rFonts w:cs="Calibri"/>
                <w:b/>
                <w:bCs/>
                <w:sz w:val="21"/>
                <w:szCs w:val="21"/>
              </w:rPr>
              <w:t>保洁项目</w:t>
            </w:r>
          </w:p>
        </w:tc>
        <w:tc>
          <w:tcPr>
            <w:tcW w:w="3827" w:type="dxa"/>
            <w:vAlign w:val="center"/>
          </w:tcPr>
          <w:p>
            <w:pPr>
              <w:pStyle w:val="2"/>
              <w:tabs>
                <w:tab w:val="center" w:pos="4153"/>
                <w:tab w:val="right" w:pos="8306"/>
              </w:tabs>
              <w:snapToGrid w:val="0"/>
              <w:spacing w:line="240" w:lineRule="exact"/>
              <w:ind w:firstLine="0" w:firstLineChars="0"/>
              <w:jc w:val="center"/>
              <w:rPr>
                <w:rFonts w:cs="Calibri"/>
                <w:b/>
                <w:bCs/>
                <w:sz w:val="21"/>
                <w:szCs w:val="21"/>
              </w:rPr>
            </w:pPr>
            <w:r>
              <w:rPr>
                <w:rFonts w:cs="Calibri"/>
                <w:b/>
                <w:bCs/>
                <w:sz w:val="21"/>
                <w:szCs w:val="21"/>
              </w:rPr>
              <w:t>工作内容</w:t>
            </w:r>
          </w:p>
        </w:tc>
        <w:tc>
          <w:tcPr>
            <w:tcW w:w="1134" w:type="dxa"/>
            <w:vAlign w:val="center"/>
          </w:tcPr>
          <w:p>
            <w:pPr>
              <w:pStyle w:val="2"/>
              <w:tabs>
                <w:tab w:val="center" w:pos="4153"/>
                <w:tab w:val="right" w:pos="8306"/>
              </w:tabs>
              <w:snapToGrid w:val="0"/>
              <w:spacing w:line="240" w:lineRule="exact"/>
              <w:ind w:firstLine="0" w:firstLineChars="0"/>
              <w:jc w:val="center"/>
              <w:rPr>
                <w:rFonts w:cs="Calibri"/>
                <w:b/>
                <w:bCs/>
                <w:sz w:val="21"/>
                <w:szCs w:val="21"/>
              </w:rPr>
            </w:pPr>
            <w:r>
              <w:rPr>
                <w:rFonts w:cs="Calibri"/>
                <w:b/>
                <w:bCs/>
                <w:sz w:val="21"/>
                <w:szCs w:val="21"/>
              </w:rPr>
              <w:t>保洁人员</w:t>
            </w:r>
          </w:p>
        </w:tc>
        <w:tc>
          <w:tcPr>
            <w:tcW w:w="1559" w:type="dxa"/>
            <w:vAlign w:val="center"/>
          </w:tcPr>
          <w:p>
            <w:pPr>
              <w:pStyle w:val="2"/>
              <w:tabs>
                <w:tab w:val="center" w:pos="4153"/>
                <w:tab w:val="right" w:pos="8306"/>
              </w:tabs>
              <w:snapToGrid w:val="0"/>
              <w:spacing w:line="240" w:lineRule="exact"/>
              <w:ind w:firstLine="0" w:firstLineChars="0"/>
              <w:jc w:val="center"/>
              <w:rPr>
                <w:rFonts w:cs="Calibri"/>
                <w:b/>
                <w:bCs/>
                <w:sz w:val="21"/>
                <w:szCs w:val="21"/>
              </w:rPr>
            </w:pPr>
            <w:r>
              <w:rPr>
                <w:rFonts w:cs="Calibri"/>
                <w:b/>
                <w:bCs/>
                <w:sz w:val="21"/>
                <w:szCs w:val="21"/>
              </w:rPr>
              <w:t>作业时段</w:t>
            </w:r>
          </w:p>
        </w:tc>
        <w:tc>
          <w:tcPr>
            <w:tcW w:w="1276" w:type="dxa"/>
            <w:vAlign w:val="center"/>
          </w:tcPr>
          <w:p>
            <w:pPr>
              <w:pStyle w:val="2"/>
              <w:tabs>
                <w:tab w:val="center" w:pos="4153"/>
                <w:tab w:val="right" w:pos="8306"/>
              </w:tabs>
              <w:snapToGrid w:val="0"/>
              <w:spacing w:line="240" w:lineRule="exact"/>
              <w:ind w:firstLine="0" w:firstLineChars="0"/>
              <w:jc w:val="center"/>
              <w:rPr>
                <w:rFonts w:cs="Calibri"/>
                <w:b/>
                <w:bCs/>
                <w:sz w:val="21"/>
                <w:szCs w:val="21"/>
              </w:rPr>
            </w:pPr>
            <w:r>
              <w:rPr>
                <w:rFonts w:cs="Calibri"/>
                <w:b/>
                <w:bCs/>
                <w:sz w:val="21"/>
                <w:szCs w:val="21"/>
              </w:rPr>
              <w:t>设施设备</w:t>
            </w:r>
          </w:p>
        </w:tc>
        <w:tc>
          <w:tcPr>
            <w:tcW w:w="1418" w:type="dxa"/>
            <w:vAlign w:val="center"/>
          </w:tcPr>
          <w:p>
            <w:pPr>
              <w:pStyle w:val="2"/>
              <w:tabs>
                <w:tab w:val="center" w:pos="4153"/>
                <w:tab w:val="right" w:pos="8306"/>
              </w:tabs>
              <w:snapToGrid w:val="0"/>
              <w:spacing w:line="240" w:lineRule="exact"/>
              <w:ind w:firstLine="0" w:firstLineChars="0"/>
              <w:jc w:val="center"/>
              <w:rPr>
                <w:rFonts w:cs="Calibri"/>
                <w:b/>
                <w:bCs/>
                <w:sz w:val="21"/>
                <w:szCs w:val="21"/>
              </w:rPr>
            </w:pPr>
            <w:r>
              <w:rPr>
                <w:rFonts w:cs="Calibri"/>
                <w:b/>
                <w:bCs/>
                <w:sz w:val="21"/>
                <w:szCs w:val="21"/>
              </w:rPr>
              <w:t>硬件改造</w:t>
            </w:r>
          </w:p>
        </w:tc>
        <w:tc>
          <w:tcPr>
            <w:tcW w:w="1166" w:type="dxa"/>
            <w:vAlign w:val="center"/>
          </w:tcPr>
          <w:p>
            <w:pPr>
              <w:pStyle w:val="2"/>
              <w:tabs>
                <w:tab w:val="center" w:pos="4153"/>
                <w:tab w:val="right" w:pos="8306"/>
              </w:tabs>
              <w:snapToGrid w:val="0"/>
              <w:spacing w:line="240" w:lineRule="exact"/>
              <w:ind w:firstLine="0" w:firstLineChars="0"/>
              <w:jc w:val="center"/>
              <w:rPr>
                <w:rFonts w:cs="Calibri"/>
                <w:b/>
                <w:bCs/>
                <w:sz w:val="21"/>
                <w:szCs w:val="21"/>
              </w:rPr>
            </w:pPr>
            <w:r>
              <w:rPr>
                <w:rFonts w:cs="Calibri"/>
                <w:b/>
                <w:bCs/>
                <w:sz w:val="21"/>
                <w:szCs w:val="21"/>
              </w:rPr>
              <w:t>创建类别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restart"/>
            <w:vAlign w:val="center"/>
          </w:tcPr>
          <w:p>
            <w:pPr>
              <w:pStyle w:val="2"/>
              <w:tabs>
                <w:tab w:val="center" w:pos="4153"/>
                <w:tab w:val="right" w:pos="8306"/>
              </w:tabs>
              <w:snapToGrid w:val="0"/>
              <w:spacing w:line="240" w:lineRule="exact"/>
              <w:ind w:firstLine="0" w:firstLineChars="0"/>
              <w:jc w:val="center"/>
              <w:rPr>
                <w:rFonts w:cs="Calibri"/>
                <w:sz w:val="21"/>
                <w:szCs w:val="21"/>
              </w:rPr>
            </w:pPr>
            <w:r>
              <w:rPr>
                <w:rFonts w:hint="eastAsia" w:cs="Calibri"/>
                <w:sz w:val="21"/>
                <w:szCs w:val="21"/>
              </w:rPr>
              <w:t>蓬莱会前休闲廊道</w:t>
            </w:r>
          </w:p>
        </w:tc>
        <w:tc>
          <w:tcPr>
            <w:tcW w:w="1134" w:type="dxa"/>
            <w:vMerge w:val="restart"/>
            <w:vAlign w:val="center"/>
          </w:tcPr>
          <w:p>
            <w:pPr>
              <w:pStyle w:val="2"/>
              <w:tabs>
                <w:tab w:val="center" w:pos="4153"/>
                <w:tab w:val="right" w:pos="8306"/>
              </w:tabs>
              <w:snapToGrid w:val="0"/>
              <w:spacing w:line="240" w:lineRule="exact"/>
              <w:ind w:firstLine="0" w:firstLineChars="0"/>
              <w:jc w:val="center"/>
              <w:rPr>
                <w:rFonts w:cs="Calibri"/>
                <w:sz w:val="21"/>
                <w:szCs w:val="21"/>
              </w:rPr>
            </w:pPr>
            <w:r>
              <w:rPr>
                <w:rFonts w:cs="Calibri"/>
                <w:sz w:val="21"/>
                <w:szCs w:val="21"/>
              </w:rPr>
              <w:t>康健路延伸段区域及休息亭</w:t>
            </w:r>
          </w:p>
        </w:tc>
        <w:tc>
          <w:tcPr>
            <w:tcW w:w="851" w:type="dxa"/>
            <w:vMerge w:val="restart"/>
            <w:vAlign w:val="center"/>
          </w:tcPr>
          <w:p>
            <w:pPr>
              <w:pStyle w:val="2"/>
              <w:tabs>
                <w:tab w:val="center" w:pos="4153"/>
                <w:tab w:val="right" w:pos="8306"/>
              </w:tabs>
              <w:snapToGrid w:val="0"/>
              <w:spacing w:line="240" w:lineRule="exact"/>
              <w:ind w:firstLine="0" w:firstLineChars="0"/>
              <w:jc w:val="center"/>
              <w:rPr>
                <w:rFonts w:cs="Calibri"/>
                <w:sz w:val="21"/>
                <w:szCs w:val="21"/>
              </w:rPr>
            </w:pPr>
            <w:r>
              <w:rPr>
                <w:rFonts w:hint="eastAsia" w:cs="Calibri"/>
                <w:sz w:val="21"/>
                <w:szCs w:val="21"/>
              </w:rPr>
              <w:t>200</w:t>
            </w:r>
            <w:r>
              <w:rPr>
                <w:rFonts w:cs="Calibri"/>
                <w:bCs/>
                <w:sz w:val="21"/>
                <w:szCs w:val="21"/>
              </w:rPr>
              <w:t>平方米</w:t>
            </w:r>
          </w:p>
        </w:tc>
        <w:tc>
          <w:tcPr>
            <w:tcW w:w="1134" w:type="dxa"/>
            <w:vMerge w:val="restart"/>
            <w:vAlign w:val="center"/>
          </w:tcPr>
          <w:p>
            <w:pPr>
              <w:tabs>
                <w:tab w:val="center" w:pos="4153"/>
                <w:tab w:val="right" w:pos="8306"/>
              </w:tabs>
              <w:snapToGrid w:val="0"/>
              <w:spacing w:line="240" w:lineRule="exact"/>
              <w:jc w:val="center"/>
              <w:rPr>
                <w:rFonts w:ascii="宋体" w:hAnsi="宋体"/>
              </w:rPr>
            </w:pPr>
            <w:r>
              <w:rPr>
                <w:rFonts w:hint="eastAsia" w:ascii="宋体" w:hAnsi="宋体"/>
              </w:rPr>
              <w:t>地</w:t>
            </w:r>
          </w:p>
          <w:p>
            <w:pPr>
              <w:tabs>
                <w:tab w:val="center" w:pos="4153"/>
                <w:tab w:val="right" w:pos="8306"/>
              </w:tabs>
              <w:snapToGrid w:val="0"/>
              <w:spacing w:line="240" w:lineRule="exact"/>
              <w:jc w:val="center"/>
              <w:rPr>
                <w:rFonts w:ascii="宋体" w:hAnsi="宋体"/>
              </w:rPr>
            </w:pPr>
            <w:r>
              <w:rPr>
                <w:rFonts w:hint="eastAsia" w:ascii="宋体" w:hAnsi="宋体"/>
              </w:rPr>
              <w:t>面</w:t>
            </w:r>
          </w:p>
          <w:p>
            <w:pPr>
              <w:tabs>
                <w:tab w:val="center" w:pos="4153"/>
                <w:tab w:val="right" w:pos="8306"/>
              </w:tabs>
              <w:snapToGrid w:val="0"/>
              <w:spacing w:line="240" w:lineRule="exact"/>
              <w:jc w:val="center"/>
              <w:rPr>
                <w:rFonts w:ascii="宋体" w:hAnsi="宋体"/>
              </w:rPr>
            </w:pPr>
            <w:r>
              <w:rPr>
                <w:rFonts w:hint="eastAsia" w:ascii="宋体" w:hAnsi="宋体"/>
              </w:rPr>
              <w:t>路</w:t>
            </w:r>
          </w:p>
          <w:p>
            <w:pPr>
              <w:tabs>
                <w:tab w:val="center" w:pos="4153"/>
                <w:tab w:val="right" w:pos="8306"/>
              </w:tabs>
              <w:snapToGrid w:val="0"/>
              <w:spacing w:line="240" w:lineRule="exact"/>
              <w:jc w:val="center"/>
              <w:rPr>
                <w:rFonts w:ascii="宋体" w:hAnsi="宋体"/>
              </w:rPr>
            </w:pPr>
            <w:r>
              <w:rPr>
                <w:rFonts w:hint="eastAsia" w:ascii="宋体" w:hAnsi="宋体"/>
              </w:rPr>
              <w:t>面</w:t>
            </w: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地面清扫</w:t>
            </w:r>
          </w:p>
        </w:tc>
        <w:tc>
          <w:tcPr>
            <w:tcW w:w="1134" w:type="dxa"/>
            <w:vMerge w:val="restart"/>
            <w:vAlign w:val="center"/>
          </w:tcPr>
          <w:p>
            <w:pPr>
              <w:pStyle w:val="2"/>
              <w:tabs>
                <w:tab w:val="center" w:pos="4153"/>
                <w:tab w:val="right" w:pos="8306"/>
              </w:tabs>
              <w:snapToGrid w:val="0"/>
              <w:spacing w:line="240" w:lineRule="exact"/>
              <w:ind w:firstLine="0" w:firstLineChars="0"/>
              <w:jc w:val="center"/>
              <w:rPr>
                <w:rFonts w:cs="Calibri"/>
                <w:sz w:val="21"/>
                <w:szCs w:val="21"/>
              </w:rPr>
            </w:pPr>
            <w:r>
              <w:rPr>
                <w:rFonts w:hint="eastAsia" w:cs="Calibri"/>
                <w:sz w:val="21"/>
                <w:szCs w:val="21"/>
              </w:rPr>
              <w:t>1名</w:t>
            </w:r>
          </w:p>
        </w:tc>
        <w:tc>
          <w:tcPr>
            <w:tcW w:w="1559" w:type="dxa"/>
            <w:vMerge w:val="restart"/>
            <w:vAlign w:val="center"/>
          </w:tcPr>
          <w:p>
            <w:pPr>
              <w:pStyle w:val="2"/>
              <w:tabs>
                <w:tab w:val="center" w:pos="4153"/>
                <w:tab w:val="right" w:pos="8306"/>
              </w:tabs>
              <w:snapToGrid w:val="0"/>
              <w:spacing w:line="240" w:lineRule="exact"/>
              <w:ind w:firstLine="0" w:firstLineChars="0"/>
              <w:jc w:val="left"/>
              <w:rPr>
                <w:rFonts w:cs="Calibri"/>
                <w:sz w:val="21"/>
                <w:szCs w:val="21"/>
              </w:rPr>
            </w:pPr>
            <w:r>
              <w:rPr>
                <w:rFonts w:hint="eastAsia" w:cs="Calibri"/>
                <w:sz w:val="21"/>
                <w:szCs w:val="21"/>
              </w:rPr>
              <w:t>06:00-10:00；13:00-17:00</w:t>
            </w:r>
          </w:p>
        </w:tc>
        <w:tc>
          <w:tcPr>
            <w:tcW w:w="1276" w:type="dxa"/>
            <w:vMerge w:val="restart"/>
            <w:vAlign w:val="center"/>
          </w:tcPr>
          <w:p>
            <w:pPr>
              <w:pStyle w:val="2"/>
              <w:tabs>
                <w:tab w:val="center" w:pos="4153"/>
                <w:tab w:val="right" w:pos="8306"/>
              </w:tabs>
              <w:snapToGrid w:val="0"/>
              <w:spacing w:line="240" w:lineRule="exact"/>
              <w:ind w:firstLine="0" w:firstLineChars="0"/>
              <w:jc w:val="left"/>
              <w:rPr>
                <w:rFonts w:cs="Calibri"/>
                <w:sz w:val="21"/>
                <w:szCs w:val="21"/>
              </w:rPr>
            </w:pPr>
            <w:r>
              <w:rPr>
                <w:rFonts w:hint="eastAsia" w:cs="Calibri"/>
                <w:sz w:val="21"/>
                <w:szCs w:val="21"/>
              </w:rPr>
              <w:t>配备专业除胶剂、小铲刀、湿抹布、干抹布、水桶、火钳等专业工具。结合保洁需求，新增采购保洁专用手推车、高压冲洗机、落叶吹风机等机械设备若干。</w:t>
            </w:r>
          </w:p>
        </w:tc>
        <w:tc>
          <w:tcPr>
            <w:tcW w:w="1418" w:type="dxa"/>
            <w:vMerge w:val="restart"/>
            <w:vAlign w:val="center"/>
          </w:tcPr>
          <w:p>
            <w:pPr>
              <w:pStyle w:val="2"/>
              <w:tabs>
                <w:tab w:val="center" w:pos="4153"/>
                <w:tab w:val="right" w:pos="8306"/>
              </w:tabs>
              <w:snapToGrid w:val="0"/>
              <w:spacing w:line="240" w:lineRule="exact"/>
              <w:ind w:firstLine="0" w:firstLineChars="0"/>
              <w:rPr>
                <w:rFonts w:cs="Calibri"/>
                <w:sz w:val="21"/>
                <w:szCs w:val="21"/>
              </w:rPr>
            </w:pPr>
            <w:r>
              <w:rPr>
                <w:rFonts w:hint="eastAsia" w:cs="Calibri"/>
                <w:sz w:val="21"/>
                <w:szCs w:val="21"/>
              </w:rPr>
              <w:t>（1）增设导览图；（2）完成绿植补种。</w:t>
            </w:r>
          </w:p>
        </w:tc>
        <w:tc>
          <w:tcPr>
            <w:tcW w:w="1166" w:type="dxa"/>
            <w:vMerge w:val="restart"/>
            <w:vAlign w:val="center"/>
          </w:tcPr>
          <w:p>
            <w:pPr>
              <w:pStyle w:val="2"/>
              <w:tabs>
                <w:tab w:val="center" w:pos="4153"/>
                <w:tab w:val="right" w:pos="8306"/>
              </w:tabs>
              <w:snapToGrid w:val="0"/>
              <w:spacing w:line="240" w:lineRule="exact"/>
              <w:ind w:firstLine="0" w:firstLineChars="0"/>
              <w:jc w:val="center"/>
              <w:rPr>
                <w:rFonts w:cs="Calibri"/>
                <w:sz w:val="21"/>
                <w:szCs w:val="21"/>
              </w:rPr>
            </w:pPr>
            <w:r>
              <w:rPr>
                <w:rFonts w:hint="eastAsia" w:cs="Calibri"/>
                <w:sz w:val="21"/>
                <w:szCs w:val="21"/>
              </w:rPr>
              <w:t>休闲廊道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地面清洗、除污</w:t>
            </w: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地面侧石、台阶清洗</w:t>
            </w: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地面重度油污清洁</w:t>
            </w: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地面机械深度清理</w:t>
            </w: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地面缝隙内青苔、杂草清理</w:t>
            </w: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地面窨井、格栅保洁</w:t>
            </w: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墙角、树围保洁</w:t>
            </w: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雨水井前面清淤、疏通</w:t>
            </w: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restart"/>
            <w:vAlign w:val="center"/>
          </w:tcPr>
          <w:p>
            <w:pPr>
              <w:tabs>
                <w:tab w:val="center" w:pos="4153"/>
                <w:tab w:val="right" w:pos="8306"/>
              </w:tabs>
              <w:snapToGrid w:val="0"/>
              <w:spacing w:line="240" w:lineRule="exact"/>
              <w:jc w:val="center"/>
              <w:rPr>
                <w:rFonts w:ascii="宋体" w:hAnsi="宋体"/>
              </w:rPr>
            </w:pPr>
            <w:r>
              <w:rPr>
                <w:rFonts w:hint="eastAsia" w:ascii="宋体" w:hAnsi="宋体"/>
              </w:rPr>
              <w:t>城</w:t>
            </w:r>
          </w:p>
          <w:p>
            <w:pPr>
              <w:tabs>
                <w:tab w:val="center" w:pos="4153"/>
                <w:tab w:val="right" w:pos="8306"/>
              </w:tabs>
              <w:snapToGrid w:val="0"/>
              <w:spacing w:line="240" w:lineRule="exact"/>
              <w:jc w:val="center"/>
              <w:rPr>
                <w:rFonts w:ascii="宋体" w:hAnsi="宋体"/>
              </w:rPr>
            </w:pPr>
            <w:r>
              <w:rPr>
                <w:rFonts w:hint="eastAsia" w:ascii="宋体" w:hAnsi="宋体"/>
              </w:rPr>
              <w:t>市</w:t>
            </w:r>
          </w:p>
          <w:p>
            <w:pPr>
              <w:tabs>
                <w:tab w:val="center" w:pos="4153"/>
                <w:tab w:val="right" w:pos="8306"/>
              </w:tabs>
              <w:snapToGrid w:val="0"/>
              <w:spacing w:line="240" w:lineRule="exact"/>
              <w:jc w:val="center"/>
              <w:rPr>
                <w:rFonts w:ascii="宋体" w:hAnsi="宋体"/>
              </w:rPr>
            </w:pPr>
            <w:r>
              <w:rPr>
                <w:rFonts w:hint="eastAsia" w:ascii="宋体" w:hAnsi="宋体"/>
              </w:rPr>
              <w:t>家</w:t>
            </w:r>
          </w:p>
          <w:p>
            <w:pPr>
              <w:tabs>
                <w:tab w:val="center" w:pos="4153"/>
                <w:tab w:val="right" w:pos="8306"/>
              </w:tabs>
              <w:snapToGrid w:val="0"/>
              <w:spacing w:line="240" w:lineRule="exact"/>
              <w:jc w:val="center"/>
              <w:rPr>
                <w:rFonts w:ascii="宋体" w:hAnsi="宋体"/>
              </w:rPr>
            </w:pPr>
            <w:r>
              <w:rPr>
                <w:rFonts w:hint="eastAsia" w:ascii="宋体" w:hAnsi="宋体"/>
              </w:rPr>
              <w:t>具</w:t>
            </w: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休闲椅、石凳、花坛边缘擦拭</w:t>
            </w: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果壳箱擦拭，箱内垃圾袋更换</w:t>
            </w: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城市雕塑擦拭</w:t>
            </w: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扶手、拦杆擦拭</w:t>
            </w: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标识标牌、灯柱杆（1.2m以下）擦拭</w:t>
            </w: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指引图、海报宣传栏、消防栓等擦拭</w:t>
            </w:r>
          </w:p>
        </w:tc>
        <w:tc>
          <w:tcPr>
            <w:tcW w:w="1134"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4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851"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城市家具蜘蛛网清理</w:t>
            </w: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1559" w:type="dxa"/>
            <w:vMerge w:val="continue"/>
            <w:vAlign w:val="center"/>
          </w:tcPr>
          <w:p>
            <w:pPr>
              <w:tabs>
                <w:tab w:val="center" w:pos="4153"/>
                <w:tab w:val="right" w:pos="8306"/>
              </w:tabs>
              <w:snapToGrid w:val="0"/>
              <w:spacing w:line="240" w:lineRule="exact"/>
              <w:jc w:val="center"/>
              <w:rPr>
                <w:rFonts w:ascii="宋体" w:hAnsi="宋体"/>
              </w:rPr>
            </w:pPr>
          </w:p>
        </w:tc>
        <w:tc>
          <w:tcPr>
            <w:tcW w:w="1276" w:type="dxa"/>
            <w:vMerge w:val="continue"/>
            <w:vAlign w:val="center"/>
          </w:tcPr>
          <w:p>
            <w:pPr>
              <w:tabs>
                <w:tab w:val="center" w:pos="4153"/>
                <w:tab w:val="right" w:pos="8306"/>
              </w:tabs>
              <w:snapToGrid w:val="0"/>
              <w:spacing w:line="240" w:lineRule="exact"/>
              <w:jc w:val="center"/>
              <w:rPr>
                <w:rFonts w:ascii="宋体" w:hAnsi="宋体"/>
              </w:rPr>
            </w:pPr>
          </w:p>
        </w:tc>
        <w:tc>
          <w:tcPr>
            <w:tcW w:w="1418" w:type="dxa"/>
            <w:vMerge w:val="continue"/>
            <w:vAlign w:val="center"/>
          </w:tcPr>
          <w:p>
            <w:pPr>
              <w:tabs>
                <w:tab w:val="center" w:pos="4153"/>
                <w:tab w:val="right" w:pos="8306"/>
              </w:tabs>
              <w:snapToGrid w:val="0"/>
              <w:spacing w:line="240" w:lineRule="exact"/>
              <w:jc w:val="center"/>
              <w:rPr>
                <w:rFonts w:ascii="宋体" w:hAnsi="宋体"/>
              </w:rPr>
            </w:pPr>
          </w:p>
        </w:tc>
        <w:tc>
          <w:tcPr>
            <w:tcW w:w="1166" w:type="dxa"/>
            <w:vMerge w:val="continue"/>
            <w:vAlign w:val="center"/>
          </w:tcPr>
          <w:p>
            <w:pPr>
              <w:tabs>
                <w:tab w:val="center" w:pos="4153"/>
                <w:tab w:val="right" w:pos="8306"/>
              </w:tabs>
              <w:snapToGrid w:val="0"/>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851"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restart"/>
            <w:vAlign w:val="center"/>
          </w:tcPr>
          <w:p>
            <w:pPr>
              <w:tabs>
                <w:tab w:val="center" w:pos="4153"/>
                <w:tab w:val="right" w:pos="8306"/>
              </w:tabs>
              <w:snapToGrid w:val="0"/>
              <w:spacing w:line="240" w:lineRule="exact"/>
              <w:jc w:val="center"/>
              <w:rPr>
                <w:rFonts w:ascii="宋体" w:hAnsi="宋体"/>
              </w:rPr>
            </w:pPr>
            <w:r>
              <w:rPr>
                <w:rFonts w:hint="eastAsia" w:ascii="宋体" w:hAnsi="宋体"/>
              </w:rPr>
              <w:t>绿</w:t>
            </w:r>
          </w:p>
          <w:p>
            <w:pPr>
              <w:tabs>
                <w:tab w:val="center" w:pos="4153"/>
                <w:tab w:val="right" w:pos="8306"/>
              </w:tabs>
              <w:snapToGrid w:val="0"/>
              <w:spacing w:line="240" w:lineRule="exact"/>
              <w:jc w:val="center"/>
              <w:rPr>
                <w:rFonts w:ascii="宋体" w:hAnsi="宋体"/>
              </w:rPr>
            </w:pPr>
            <w:r>
              <w:rPr>
                <w:rFonts w:hint="eastAsia" w:ascii="宋体" w:hAnsi="宋体"/>
              </w:rPr>
              <w:t>化</w:t>
            </w:r>
          </w:p>
          <w:p>
            <w:pPr>
              <w:tabs>
                <w:tab w:val="center" w:pos="4153"/>
                <w:tab w:val="right" w:pos="8306"/>
              </w:tabs>
              <w:snapToGrid w:val="0"/>
              <w:spacing w:line="240" w:lineRule="exact"/>
              <w:jc w:val="center"/>
              <w:rPr>
                <w:rFonts w:ascii="宋体" w:hAnsi="宋体"/>
              </w:rPr>
            </w:pPr>
            <w:r>
              <w:rPr>
                <w:rFonts w:hint="eastAsia" w:ascii="宋体" w:hAnsi="宋体"/>
              </w:rPr>
              <w:t>绿</w:t>
            </w:r>
          </w:p>
          <w:p>
            <w:pPr>
              <w:tabs>
                <w:tab w:val="center" w:pos="4153"/>
                <w:tab w:val="right" w:pos="8306"/>
              </w:tabs>
              <w:snapToGrid w:val="0"/>
              <w:spacing w:line="240" w:lineRule="exact"/>
              <w:jc w:val="center"/>
              <w:rPr>
                <w:rFonts w:ascii="宋体" w:hAnsi="宋体"/>
              </w:rPr>
            </w:pPr>
            <w:r>
              <w:rPr>
                <w:rFonts w:hint="eastAsia" w:ascii="宋体" w:hAnsi="宋体"/>
              </w:rPr>
              <w:t>地</w:t>
            </w: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绿化带、绿地内白色垃圾、烟蒂捡拾</w:t>
            </w: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1559" w:type="dxa"/>
            <w:vMerge w:val="continue"/>
            <w:vAlign w:val="center"/>
          </w:tcPr>
          <w:p>
            <w:pPr>
              <w:tabs>
                <w:tab w:val="center" w:pos="4153"/>
                <w:tab w:val="right" w:pos="8306"/>
              </w:tabs>
              <w:snapToGrid w:val="0"/>
              <w:spacing w:line="240" w:lineRule="exact"/>
              <w:jc w:val="center"/>
              <w:rPr>
                <w:rFonts w:ascii="宋体" w:hAnsi="宋体"/>
              </w:rPr>
            </w:pPr>
          </w:p>
        </w:tc>
        <w:tc>
          <w:tcPr>
            <w:tcW w:w="1276" w:type="dxa"/>
            <w:vMerge w:val="continue"/>
            <w:vAlign w:val="center"/>
          </w:tcPr>
          <w:p>
            <w:pPr>
              <w:tabs>
                <w:tab w:val="center" w:pos="4153"/>
                <w:tab w:val="right" w:pos="8306"/>
              </w:tabs>
              <w:snapToGrid w:val="0"/>
              <w:spacing w:line="240" w:lineRule="exact"/>
              <w:jc w:val="center"/>
              <w:rPr>
                <w:rFonts w:ascii="宋体" w:hAnsi="宋体"/>
              </w:rPr>
            </w:pPr>
          </w:p>
        </w:tc>
        <w:tc>
          <w:tcPr>
            <w:tcW w:w="1418" w:type="dxa"/>
            <w:vMerge w:val="continue"/>
            <w:vAlign w:val="center"/>
          </w:tcPr>
          <w:p>
            <w:pPr>
              <w:tabs>
                <w:tab w:val="center" w:pos="4153"/>
                <w:tab w:val="right" w:pos="8306"/>
              </w:tabs>
              <w:snapToGrid w:val="0"/>
              <w:spacing w:line="240" w:lineRule="exact"/>
              <w:jc w:val="center"/>
              <w:rPr>
                <w:rFonts w:ascii="宋体" w:hAnsi="宋体"/>
              </w:rPr>
            </w:pPr>
          </w:p>
        </w:tc>
        <w:tc>
          <w:tcPr>
            <w:tcW w:w="1166" w:type="dxa"/>
            <w:vMerge w:val="continue"/>
            <w:vAlign w:val="center"/>
          </w:tcPr>
          <w:p>
            <w:pPr>
              <w:tabs>
                <w:tab w:val="center" w:pos="4153"/>
                <w:tab w:val="right" w:pos="8306"/>
              </w:tabs>
              <w:snapToGrid w:val="0"/>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851"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绿化枯枝、死株清理</w:t>
            </w: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1559" w:type="dxa"/>
            <w:vMerge w:val="continue"/>
            <w:vAlign w:val="center"/>
          </w:tcPr>
          <w:p>
            <w:pPr>
              <w:tabs>
                <w:tab w:val="center" w:pos="4153"/>
                <w:tab w:val="right" w:pos="8306"/>
              </w:tabs>
              <w:snapToGrid w:val="0"/>
              <w:spacing w:line="240" w:lineRule="exact"/>
              <w:jc w:val="center"/>
              <w:rPr>
                <w:rFonts w:ascii="宋体" w:hAnsi="宋体"/>
              </w:rPr>
            </w:pPr>
          </w:p>
        </w:tc>
        <w:tc>
          <w:tcPr>
            <w:tcW w:w="1276" w:type="dxa"/>
            <w:vMerge w:val="continue"/>
            <w:vAlign w:val="center"/>
          </w:tcPr>
          <w:p>
            <w:pPr>
              <w:tabs>
                <w:tab w:val="center" w:pos="4153"/>
                <w:tab w:val="right" w:pos="8306"/>
              </w:tabs>
              <w:snapToGrid w:val="0"/>
              <w:spacing w:line="240" w:lineRule="exact"/>
              <w:jc w:val="center"/>
              <w:rPr>
                <w:rFonts w:ascii="宋体" w:hAnsi="宋体"/>
              </w:rPr>
            </w:pPr>
          </w:p>
        </w:tc>
        <w:tc>
          <w:tcPr>
            <w:tcW w:w="1418" w:type="dxa"/>
            <w:vMerge w:val="continue"/>
            <w:vAlign w:val="center"/>
          </w:tcPr>
          <w:p>
            <w:pPr>
              <w:tabs>
                <w:tab w:val="center" w:pos="4153"/>
                <w:tab w:val="right" w:pos="8306"/>
              </w:tabs>
              <w:snapToGrid w:val="0"/>
              <w:spacing w:line="240" w:lineRule="exact"/>
              <w:jc w:val="center"/>
              <w:rPr>
                <w:rFonts w:ascii="宋体" w:hAnsi="宋体"/>
              </w:rPr>
            </w:pPr>
          </w:p>
        </w:tc>
        <w:tc>
          <w:tcPr>
            <w:tcW w:w="1166" w:type="dxa"/>
            <w:vMerge w:val="continue"/>
            <w:vAlign w:val="center"/>
          </w:tcPr>
          <w:p>
            <w:pPr>
              <w:tabs>
                <w:tab w:val="center" w:pos="4153"/>
                <w:tab w:val="right" w:pos="8306"/>
              </w:tabs>
              <w:snapToGrid w:val="0"/>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851"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花坛侧石、立面清洗擦拭、花箱清洁</w:t>
            </w: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1559" w:type="dxa"/>
            <w:vMerge w:val="continue"/>
            <w:vAlign w:val="center"/>
          </w:tcPr>
          <w:p>
            <w:pPr>
              <w:tabs>
                <w:tab w:val="center" w:pos="4153"/>
                <w:tab w:val="right" w:pos="8306"/>
              </w:tabs>
              <w:snapToGrid w:val="0"/>
              <w:spacing w:line="240" w:lineRule="exact"/>
              <w:jc w:val="center"/>
              <w:rPr>
                <w:rFonts w:ascii="宋体" w:hAnsi="宋体"/>
              </w:rPr>
            </w:pPr>
          </w:p>
        </w:tc>
        <w:tc>
          <w:tcPr>
            <w:tcW w:w="1276" w:type="dxa"/>
            <w:vMerge w:val="continue"/>
            <w:vAlign w:val="center"/>
          </w:tcPr>
          <w:p>
            <w:pPr>
              <w:tabs>
                <w:tab w:val="center" w:pos="4153"/>
                <w:tab w:val="right" w:pos="8306"/>
              </w:tabs>
              <w:snapToGrid w:val="0"/>
              <w:spacing w:line="240" w:lineRule="exact"/>
              <w:jc w:val="center"/>
              <w:rPr>
                <w:rFonts w:ascii="宋体" w:hAnsi="宋体"/>
              </w:rPr>
            </w:pPr>
          </w:p>
        </w:tc>
        <w:tc>
          <w:tcPr>
            <w:tcW w:w="1418" w:type="dxa"/>
            <w:vMerge w:val="continue"/>
            <w:vAlign w:val="center"/>
          </w:tcPr>
          <w:p>
            <w:pPr>
              <w:tabs>
                <w:tab w:val="center" w:pos="4153"/>
                <w:tab w:val="right" w:pos="8306"/>
              </w:tabs>
              <w:snapToGrid w:val="0"/>
              <w:spacing w:line="240" w:lineRule="exact"/>
              <w:jc w:val="center"/>
              <w:rPr>
                <w:rFonts w:ascii="宋体" w:hAnsi="宋体"/>
              </w:rPr>
            </w:pPr>
          </w:p>
        </w:tc>
        <w:tc>
          <w:tcPr>
            <w:tcW w:w="1166" w:type="dxa"/>
            <w:vMerge w:val="continue"/>
            <w:vAlign w:val="center"/>
          </w:tcPr>
          <w:p>
            <w:pPr>
              <w:tabs>
                <w:tab w:val="center" w:pos="4153"/>
                <w:tab w:val="right" w:pos="8306"/>
              </w:tabs>
              <w:snapToGrid w:val="0"/>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851"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绿植表面冲洗</w:t>
            </w: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1559" w:type="dxa"/>
            <w:vMerge w:val="continue"/>
            <w:vAlign w:val="center"/>
          </w:tcPr>
          <w:p>
            <w:pPr>
              <w:tabs>
                <w:tab w:val="center" w:pos="4153"/>
                <w:tab w:val="right" w:pos="8306"/>
              </w:tabs>
              <w:snapToGrid w:val="0"/>
              <w:spacing w:line="240" w:lineRule="exact"/>
              <w:jc w:val="center"/>
              <w:rPr>
                <w:rFonts w:ascii="宋体" w:hAnsi="宋体"/>
              </w:rPr>
            </w:pPr>
          </w:p>
        </w:tc>
        <w:tc>
          <w:tcPr>
            <w:tcW w:w="1276" w:type="dxa"/>
            <w:vMerge w:val="continue"/>
            <w:vAlign w:val="center"/>
          </w:tcPr>
          <w:p>
            <w:pPr>
              <w:tabs>
                <w:tab w:val="center" w:pos="4153"/>
                <w:tab w:val="right" w:pos="8306"/>
              </w:tabs>
              <w:snapToGrid w:val="0"/>
              <w:spacing w:line="240" w:lineRule="exact"/>
              <w:jc w:val="center"/>
              <w:rPr>
                <w:rFonts w:ascii="宋体" w:hAnsi="宋体"/>
              </w:rPr>
            </w:pPr>
          </w:p>
        </w:tc>
        <w:tc>
          <w:tcPr>
            <w:tcW w:w="1418" w:type="dxa"/>
            <w:vMerge w:val="continue"/>
            <w:vAlign w:val="center"/>
          </w:tcPr>
          <w:p>
            <w:pPr>
              <w:tabs>
                <w:tab w:val="center" w:pos="4153"/>
                <w:tab w:val="right" w:pos="8306"/>
              </w:tabs>
              <w:snapToGrid w:val="0"/>
              <w:spacing w:line="240" w:lineRule="exact"/>
              <w:jc w:val="center"/>
              <w:rPr>
                <w:rFonts w:ascii="宋体" w:hAnsi="宋体"/>
              </w:rPr>
            </w:pPr>
          </w:p>
        </w:tc>
        <w:tc>
          <w:tcPr>
            <w:tcW w:w="1166" w:type="dxa"/>
            <w:vMerge w:val="continue"/>
            <w:vAlign w:val="center"/>
          </w:tcPr>
          <w:p>
            <w:pPr>
              <w:tabs>
                <w:tab w:val="center" w:pos="4153"/>
                <w:tab w:val="right" w:pos="8306"/>
              </w:tabs>
              <w:snapToGrid w:val="0"/>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851"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雨水明沟垃圾清理、疏通</w:t>
            </w: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1559" w:type="dxa"/>
            <w:vMerge w:val="continue"/>
            <w:vAlign w:val="center"/>
          </w:tcPr>
          <w:p>
            <w:pPr>
              <w:tabs>
                <w:tab w:val="center" w:pos="4153"/>
                <w:tab w:val="right" w:pos="8306"/>
              </w:tabs>
              <w:snapToGrid w:val="0"/>
              <w:spacing w:line="240" w:lineRule="exact"/>
              <w:jc w:val="center"/>
              <w:rPr>
                <w:rFonts w:ascii="宋体" w:hAnsi="宋体"/>
              </w:rPr>
            </w:pPr>
          </w:p>
        </w:tc>
        <w:tc>
          <w:tcPr>
            <w:tcW w:w="1276" w:type="dxa"/>
            <w:vMerge w:val="continue"/>
            <w:vAlign w:val="center"/>
          </w:tcPr>
          <w:p>
            <w:pPr>
              <w:tabs>
                <w:tab w:val="center" w:pos="4153"/>
                <w:tab w:val="right" w:pos="8306"/>
              </w:tabs>
              <w:snapToGrid w:val="0"/>
              <w:spacing w:line="240" w:lineRule="exact"/>
              <w:jc w:val="center"/>
              <w:rPr>
                <w:rFonts w:ascii="宋体" w:hAnsi="宋体"/>
              </w:rPr>
            </w:pPr>
          </w:p>
        </w:tc>
        <w:tc>
          <w:tcPr>
            <w:tcW w:w="1418" w:type="dxa"/>
            <w:vMerge w:val="continue"/>
            <w:vAlign w:val="center"/>
          </w:tcPr>
          <w:p>
            <w:pPr>
              <w:tabs>
                <w:tab w:val="center" w:pos="4153"/>
                <w:tab w:val="right" w:pos="8306"/>
              </w:tabs>
              <w:snapToGrid w:val="0"/>
              <w:spacing w:line="240" w:lineRule="exact"/>
              <w:jc w:val="center"/>
              <w:rPr>
                <w:rFonts w:ascii="宋体" w:hAnsi="宋体"/>
              </w:rPr>
            </w:pPr>
          </w:p>
        </w:tc>
        <w:tc>
          <w:tcPr>
            <w:tcW w:w="1166" w:type="dxa"/>
            <w:vMerge w:val="continue"/>
            <w:vAlign w:val="center"/>
          </w:tcPr>
          <w:p>
            <w:pPr>
              <w:tabs>
                <w:tab w:val="center" w:pos="4153"/>
                <w:tab w:val="right" w:pos="8306"/>
              </w:tabs>
              <w:snapToGrid w:val="0"/>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851"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restart"/>
            <w:vAlign w:val="center"/>
          </w:tcPr>
          <w:p>
            <w:pPr>
              <w:tabs>
                <w:tab w:val="center" w:pos="4153"/>
                <w:tab w:val="right" w:pos="8306"/>
              </w:tabs>
              <w:snapToGrid w:val="0"/>
              <w:spacing w:line="240" w:lineRule="exact"/>
              <w:jc w:val="center"/>
              <w:rPr>
                <w:rFonts w:ascii="宋体" w:hAnsi="宋体"/>
              </w:rPr>
            </w:pPr>
            <w:r>
              <w:rPr>
                <w:rFonts w:hint="eastAsia" w:ascii="宋体" w:hAnsi="宋体"/>
              </w:rPr>
              <w:t>建筑</w:t>
            </w:r>
          </w:p>
          <w:p>
            <w:pPr>
              <w:tabs>
                <w:tab w:val="center" w:pos="4153"/>
                <w:tab w:val="right" w:pos="8306"/>
              </w:tabs>
              <w:snapToGrid w:val="0"/>
              <w:spacing w:line="240" w:lineRule="exact"/>
              <w:jc w:val="center"/>
              <w:rPr>
                <w:rFonts w:ascii="宋体" w:hAnsi="宋体"/>
              </w:rPr>
            </w:pPr>
            <w:r>
              <w:rPr>
                <w:rFonts w:hint="eastAsia" w:ascii="宋体" w:hAnsi="宋体"/>
              </w:rPr>
              <w:t>立面</w:t>
            </w:r>
          </w:p>
        </w:tc>
        <w:tc>
          <w:tcPr>
            <w:tcW w:w="3827" w:type="dxa"/>
            <w:vAlign w:val="center"/>
          </w:tcPr>
          <w:p>
            <w:pPr>
              <w:tabs>
                <w:tab w:val="center" w:pos="4153"/>
                <w:tab w:val="right" w:pos="8306"/>
              </w:tabs>
              <w:snapToGrid w:val="0"/>
              <w:spacing w:line="240" w:lineRule="exact"/>
              <w:rPr>
                <w:rFonts w:ascii="宋体" w:hAnsi="宋体"/>
                <w:sz w:val="18"/>
              </w:rPr>
            </w:pPr>
            <w:r>
              <w:rPr>
                <w:rFonts w:hint="eastAsia" w:ascii="宋体" w:hAnsi="宋体"/>
                <w:sz w:val="18"/>
              </w:rPr>
              <w:t>屋檐、雨棚清洗</w:t>
            </w: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1559" w:type="dxa"/>
            <w:vMerge w:val="continue"/>
            <w:vAlign w:val="center"/>
          </w:tcPr>
          <w:p>
            <w:pPr>
              <w:tabs>
                <w:tab w:val="center" w:pos="4153"/>
                <w:tab w:val="right" w:pos="8306"/>
              </w:tabs>
              <w:snapToGrid w:val="0"/>
              <w:spacing w:line="240" w:lineRule="exact"/>
              <w:jc w:val="center"/>
              <w:rPr>
                <w:rFonts w:ascii="宋体" w:hAnsi="宋体"/>
              </w:rPr>
            </w:pPr>
          </w:p>
        </w:tc>
        <w:tc>
          <w:tcPr>
            <w:tcW w:w="1276" w:type="dxa"/>
            <w:vMerge w:val="continue"/>
            <w:vAlign w:val="center"/>
          </w:tcPr>
          <w:p>
            <w:pPr>
              <w:tabs>
                <w:tab w:val="center" w:pos="4153"/>
                <w:tab w:val="right" w:pos="8306"/>
              </w:tabs>
              <w:snapToGrid w:val="0"/>
              <w:spacing w:line="240" w:lineRule="exact"/>
              <w:jc w:val="center"/>
              <w:rPr>
                <w:rFonts w:ascii="宋体" w:hAnsi="宋体"/>
              </w:rPr>
            </w:pPr>
          </w:p>
        </w:tc>
        <w:tc>
          <w:tcPr>
            <w:tcW w:w="1418" w:type="dxa"/>
            <w:vMerge w:val="continue"/>
            <w:vAlign w:val="center"/>
          </w:tcPr>
          <w:p>
            <w:pPr>
              <w:tabs>
                <w:tab w:val="center" w:pos="4153"/>
                <w:tab w:val="right" w:pos="8306"/>
              </w:tabs>
              <w:snapToGrid w:val="0"/>
              <w:spacing w:line="240" w:lineRule="exact"/>
              <w:jc w:val="center"/>
              <w:rPr>
                <w:rFonts w:ascii="宋体" w:hAnsi="宋体"/>
              </w:rPr>
            </w:pPr>
          </w:p>
        </w:tc>
        <w:tc>
          <w:tcPr>
            <w:tcW w:w="1166" w:type="dxa"/>
            <w:vMerge w:val="continue"/>
            <w:vAlign w:val="center"/>
          </w:tcPr>
          <w:p>
            <w:pPr>
              <w:tabs>
                <w:tab w:val="center" w:pos="4153"/>
                <w:tab w:val="right" w:pos="8306"/>
              </w:tabs>
              <w:snapToGrid w:val="0"/>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851" w:type="dxa"/>
            <w:vMerge w:val="continue"/>
            <w:vAlign w:val="center"/>
          </w:tcPr>
          <w:p>
            <w:pPr>
              <w:tabs>
                <w:tab w:val="center" w:pos="4153"/>
                <w:tab w:val="right" w:pos="8306"/>
              </w:tabs>
              <w:snapToGrid w:val="0"/>
              <w:spacing w:line="240" w:lineRule="exact"/>
              <w:jc w:val="center"/>
              <w:rPr>
                <w:rFonts w:ascii="宋体" w:hAnsi="宋体"/>
              </w:rPr>
            </w:pP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3827" w:type="dxa"/>
            <w:vAlign w:val="center"/>
          </w:tcPr>
          <w:p>
            <w:pPr>
              <w:tabs>
                <w:tab w:val="center" w:pos="4153"/>
                <w:tab w:val="right" w:pos="8306"/>
              </w:tabs>
              <w:snapToGrid w:val="0"/>
              <w:spacing w:line="240" w:lineRule="exact"/>
              <w:rPr>
                <w:rFonts w:ascii="宋体" w:hAnsi="宋体"/>
                <w:sz w:val="18"/>
              </w:rPr>
            </w:pPr>
            <w:r>
              <w:rPr>
                <w:rFonts w:hint="eastAsia" w:ascii="宋体" w:hAnsi="宋体"/>
                <w:sz w:val="18"/>
              </w:rPr>
              <w:t>建筑立面清洗（2m以下）</w:t>
            </w:r>
          </w:p>
        </w:tc>
        <w:tc>
          <w:tcPr>
            <w:tcW w:w="1134" w:type="dxa"/>
            <w:vMerge w:val="continue"/>
            <w:vAlign w:val="center"/>
          </w:tcPr>
          <w:p>
            <w:pPr>
              <w:tabs>
                <w:tab w:val="center" w:pos="4153"/>
                <w:tab w:val="right" w:pos="8306"/>
              </w:tabs>
              <w:snapToGrid w:val="0"/>
              <w:spacing w:line="240" w:lineRule="exact"/>
              <w:jc w:val="center"/>
              <w:rPr>
                <w:rFonts w:ascii="宋体" w:hAnsi="宋体"/>
              </w:rPr>
            </w:pPr>
          </w:p>
        </w:tc>
        <w:tc>
          <w:tcPr>
            <w:tcW w:w="1559" w:type="dxa"/>
            <w:vMerge w:val="continue"/>
            <w:vAlign w:val="center"/>
          </w:tcPr>
          <w:p>
            <w:pPr>
              <w:tabs>
                <w:tab w:val="center" w:pos="4153"/>
                <w:tab w:val="right" w:pos="8306"/>
              </w:tabs>
              <w:snapToGrid w:val="0"/>
              <w:spacing w:line="240" w:lineRule="exact"/>
              <w:jc w:val="center"/>
              <w:rPr>
                <w:rFonts w:ascii="宋体" w:hAnsi="宋体"/>
              </w:rPr>
            </w:pPr>
          </w:p>
        </w:tc>
        <w:tc>
          <w:tcPr>
            <w:tcW w:w="1276" w:type="dxa"/>
            <w:vMerge w:val="continue"/>
            <w:vAlign w:val="center"/>
          </w:tcPr>
          <w:p>
            <w:pPr>
              <w:tabs>
                <w:tab w:val="center" w:pos="4153"/>
                <w:tab w:val="right" w:pos="8306"/>
              </w:tabs>
              <w:snapToGrid w:val="0"/>
              <w:spacing w:line="240" w:lineRule="exact"/>
              <w:jc w:val="center"/>
              <w:rPr>
                <w:rFonts w:ascii="宋体" w:hAnsi="宋体"/>
              </w:rPr>
            </w:pPr>
          </w:p>
        </w:tc>
        <w:tc>
          <w:tcPr>
            <w:tcW w:w="1418" w:type="dxa"/>
            <w:vMerge w:val="continue"/>
            <w:vAlign w:val="center"/>
          </w:tcPr>
          <w:p>
            <w:pPr>
              <w:tabs>
                <w:tab w:val="center" w:pos="4153"/>
                <w:tab w:val="right" w:pos="8306"/>
              </w:tabs>
              <w:snapToGrid w:val="0"/>
              <w:spacing w:line="240" w:lineRule="exact"/>
              <w:jc w:val="center"/>
              <w:rPr>
                <w:rFonts w:ascii="宋体" w:hAnsi="宋体"/>
              </w:rPr>
            </w:pPr>
          </w:p>
        </w:tc>
        <w:tc>
          <w:tcPr>
            <w:tcW w:w="1166" w:type="dxa"/>
            <w:vMerge w:val="continue"/>
            <w:vAlign w:val="center"/>
          </w:tcPr>
          <w:p>
            <w:pPr>
              <w:tabs>
                <w:tab w:val="center" w:pos="4153"/>
                <w:tab w:val="right" w:pos="8306"/>
              </w:tabs>
              <w:snapToGrid w:val="0"/>
              <w:spacing w:line="24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40" w:lineRule="exact"/>
              <w:jc w:val="center"/>
              <w:rPr>
                <w:rFonts w:ascii="宋体" w:hAnsi="宋体"/>
                <w:sz w:val="18"/>
              </w:rPr>
            </w:pPr>
          </w:p>
        </w:tc>
        <w:tc>
          <w:tcPr>
            <w:tcW w:w="1134" w:type="dxa"/>
            <w:vMerge w:val="continue"/>
            <w:vAlign w:val="center"/>
          </w:tcPr>
          <w:p>
            <w:pPr>
              <w:tabs>
                <w:tab w:val="center" w:pos="4153"/>
                <w:tab w:val="right" w:pos="8306"/>
              </w:tabs>
              <w:snapToGrid w:val="0"/>
              <w:spacing w:line="240" w:lineRule="exact"/>
              <w:jc w:val="center"/>
              <w:rPr>
                <w:rFonts w:ascii="宋体" w:hAnsi="宋体"/>
                <w:sz w:val="18"/>
              </w:rPr>
            </w:pPr>
          </w:p>
        </w:tc>
        <w:tc>
          <w:tcPr>
            <w:tcW w:w="851" w:type="dxa"/>
            <w:vMerge w:val="continue"/>
            <w:vAlign w:val="center"/>
          </w:tcPr>
          <w:p>
            <w:pPr>
              <w:tabs>
                <w:tab w:val="center" w:pos="4153"/>
                <w:tab w:val="right" w:pos="8306"/>
              </w:tabs>
              <w:snapToGrid w:val="0"/>
              <w:spacing w:line="240" w:lineRule="exact"/>
              <w:jc w:val="center"/>
              <w:rPr>
                <w:rFonts w:ascii="宋体" w:hAnsi="宋体"/>
                <w:sz w:val="18"/>
              </w:rPr>
            </w:pPr>
          </w:p>
        </w:tc>
        <w:tc>
          <w:tcPr>
            <w:tcW w:w="1134" w:type="dxa"/>
            <w:vMerge w:val="restart"/>
            <w:vAlign w:val="center"/>
          </w:tcPr>
          <w:p>
            <w:pPr>
              <w:tabs>
                <w:tab w:val="center" w:pos="4153"/>
                <w:tab w:val="right" w:pos="8306"/>
              </w:tabs>
              <w:snapToGrid w:val="0"/>
              <w:spacing w:line="240" w:lineRule="exact"/>
              <w:jc w:val="center"/>
              <w:rPr>
                <w:rFonts w:ascii="宋体" w:hAnsi="宋体"/>
              </w:rPr>
            </w:pPr>
            <w:r>
              <w:rPr>
                <w:rFonts w:hint="eastAsia" w:ascii="宋体" w:hAnsi="宋体"/>
              </w:rPr>
              <w:t>环</w:t>
            </w:r>
          </w:p>
          <w:p>
            <w:pPr>
              <w:tabs>
                <w:tab w:val="center" w:pos="4153"/>
                <w:tab w:val="right" w:pos="8306"/>
              </w:tabs>
              <w:snapToGrid w:val="0"/>
              <w:spacing w:line="240" w:lineRule="exact"/>
              <w:jc w:val="center"/>
              <w:rPr>
                <w:rFonts w:ascii="宋体" w:hAnsi="宋体"/>
              </w:rPr>
            </w:pPr>
            <w:r>
              <w:rPr>
                <w:rFonts w:hint="eastAsia" w:ascii="宋体" w:hAnsi="宋体"/>
              </w:rPr>
              <w:t>卫</w:t>
            </w:r>
          </w:p>
          <w:p>
            <w:pPr>
              <w:tabs>
                <w:tab w:val="center" w:pos="4153"/>
                <w:tab w:val="right" w:pos="8306"/>
              </w:tabs>
              <w:snapToGrid w:val="0"/>
              <w:spacing w:line="240" w:lineRule="exact"/>
              <w:jc w:val="center"/>
              <w:rPr>
                <w:rFonts w:ascii="宋体" w:hAnsi="宋体"/>
              </w:rPr>
            </w:pPr>
            <w:r>
              <w:rPr>
                <w:rFonts w:hint="eastAsia" w:ascii="宋体" w:hAnsi="宋体"/>
              </w:rPr>
              <w:t>设</w:t>
            </w:r>
          </w:p>
          <w:p>
            <w:pPr>
              <w:tabs>
                <w:tab w:val="center" w:pos="4153"/>
                <w:tab w:val="right" w:pos="8306"/>
              </w:tabs>
              <w:snapToGrid w:val="0"/>
              <w:spacing w:line="240" w:lineRule="exact"/>
              <w:jc w:val="center"/>
              <w:rPr>
                <w:rFonts w:ascii="方正黑体简体" w:eastAsia="方正黑体简体"/>
                <w:sz w:val="18"/>
              </w:rPr>
            </w:pPr>
            <w:r>
              <w:rPr>
                <w:rFonts w:hint="eastAsia" w:ascii="宋体" w:hAnsi="宋体"/>
              </w:rPr>
              <w:t>施</w:t>
            </w: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果壳箱不满溢</w:t>
            </w:r>
          </w:p>
        </w:tc>
        <w:tc>
          <w:tcPr>
            <w:tcW w:w="1134" w:type="dxa"/>
            <w:vMerge w:val="continue"/>
            <w:vAlign w:val="center"/>
          </w:tcPr>
          <w:p>
            <w:pPr>
              <w:tabs>
                <w:tab w:val="center" w:pos="4153"/>
                <w:tab w:val="right" w:pos="8306"/>
              </w:tabs>
              <w:snapToGrid w:val="0"/>
              <w:spacing w:line="240" w:lineRule="exact"/>
              <w:jc w:val="center"/>
              <w:rPr>
                <w:rFonts w:ascii="宋体" w:hAnsi="宋体"/>
                <w:sz w:val="18"/>
              </w:rPr>
            </w:pPr>
          </w:p>
        </w:tc>
        <w:tc>
          <w:tcPr>
            <w:tcW w:w="1559" w:type="dxa"/>
            <w:vMerge w:val="continue"/>
            <w:vAlign w:val="center"/>
          </w:tcPr>
          <w:p>
            <w:pPr>
              <w:tabs>
                <w:tab w:val="center" w:pos="4153"/>
                <w:tab w:val="right" w:pos="8306"/>
              </w:tabs>
              <w:snapToGrid w:val="0"/>
              <w:spacing w:line="240" w:lineRule="exact"/>
              <w:jc w:val="center"/>
              <w:rPr>
                <w:rFonts w:ascii="宋体" w:hAnsi="宋体"/>
                <w:sz w:val="18"/>
              </w:rPr>
            </w:pPr>
          </w:p>
        </w:tc>
        <w:tc>
          <w:tcPr>
            <w:tcW w:w="1276" w:type="dxa"/>
            <w:vMerge w:val="continue"/>
            <w:vAlign w:val="center"/>
          </w:tcPr>
          <w:p>
            <w:pPr>
              <w:tabs>
                <w:tab w:val="center" w:pos="4153"/>
                <w:tab w:val="right" w:pos="8306"/>
              </w:tabs>
              <w:snapToGrid w:val="0"/>
              <w:spacing w:line="240" w:lineRule="exact"/>
              <w:jc w:val="center"/>
              <w:rPr>
                <w:rFonts w:ascii="宋体" w:hAnsi="宋体"/>
                <w:sz w:val="18"/>
              </w:rPr>
            </w:pPr>
          </w:p>
        </w:tc>
        <w:tc>
          <w:tcPr>
            <w:tcW w:w="1418" w:type="dxa"/>
            <w:vMerge w:val="continue"/>
            <w:vAlign w:val="center"/>
          </w:tcPr>
          <w:p>
            <w:pPr>
              <w:tabs>
                <w:tab w:val="center" w:pos="4153"/>
                <w:tab w:val="right" w:pos="8306"/>
              </w:tabs>
              <w:snapToGrid w:val="0"/>
              <w:spacing w:line="240" w:lineRule="exact"/>
              <w:jc w:val="center"/>
              <w:rPr>
                <w:rFonts w:ascii="宋体" w:hAnsi="宋体"/>
                <w:sz w:val="18"/>
              </w:rPr>
            </w:pPr>
          </w:p>
        </w:tc>
        <w:tc>
          <w:tcPr>
            <w:tcW w:w="1166" w:type="dxa"/>
            <w:vMerge w:val="continue"/>
            <w:vAlign w:val="center"/>
          </w:tcPr>
          <w:p>
            <w:pPr>
              <w:tabs>
                <w:tab w:val="center" w:pos="4153"/>
                <w:tab w:val="right" w:pos="8306"/>
              </w:tabs>
              <w:snapToGrid w:val="0"/>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40" w:lineRule="exact"/>
              <w:jc w:val="center"/>
              <w:rPr>
                <w:rFonts w:ascii="宋体" w:hAnsi="宋体"/>
                <w:sz w:val="18"/>
              </w:rPr>
            </w:pPr>
          </w:p>
        </w:tc>
        <w:tc>
          <w:tcPr>
            <w:tcW w:w="1134" w:type="dxa"/>
            <w:vMerge w:val="continue"/>
            <w:vAlign w:val="center"/>
          </w:tcPr>
          <w:p>
            <w:pPr>
              <w:tabs>
                <w:tab w:val="center" w:pos="4153"/>
                <w:tab w:val="right" w:pos="8306"/>
              </w:tabs>
              <w:snapToGrid w:val="0"/>
              <w:spacing w:line="240" w:lineRule="exact"/>
              <w:jc w:val="center"/>
              <w:rPr>
                <w:rFonts w:ascii="宋体" w:hAnsi="宋体"/>
                <w:sz w:val="18"/>
              </w:rPr>
            </w:pPr>
          </w:p>
        </w:tc>
        <w:tc>
          <w:tcPr>
            <w:tcW w:w="851" w:type="dxa"/>
            <w:vMerge w:val="continue"/>
            <w:vAlign w:val="center"/>
          </w:tcPr>
          <w:p>
            <w:pPr>
              <w:tabs>
                <w:tab w:val="center" w:pos="4153"/>
                <w:tab w:val="right" w:pos="8306"/>
              </w:tabs>
              <w:snapToGrid w:val="0"/>
              <w:spacing w:line="240" w:lineRule="exact"/>
              <w:jc w:val="center"/>
              <w:rPr>
                <w:rFonts w:ascii="宋体" w:hAnsi="宋体"/>
                <w:sz w:val="18"/>
              </w:rPr>
            </w:pPr>
          </w:p>
        </w:tc>
        <w:tc>
          <w:tcPr>
            <w:tcW w:w="1134" w:type="dxa"/>
            <w:vMerge w:val="continue"/>
            <w:vAlign w:val="center"/>
          </w:tcPr>
          <w:p>
            <w:pPr>
              <w:tabs>
                <w:tab w:val="center" w:pos="4153"/>
                <w:tab w:val="right" w:pos="8306"/>
              </w:tabs>
              <w:snapToGrid w:val="0"/>
              <w:spacing w:line="240" w:lineRule="exact"/>
              <w:jc w:val="center"/>
              <w:rPr>
                <w:rFonts w:ascii="方正黑体简体" w:eastAsia="方正黑体简体"/>
                <w:sz w:val="18"/>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果壳箱日常清洗</w:t>
            </w:r>
          </w:p>
        </w:tc>
        <w:tc>
          <w:tcPr>
            <w:tcW w:w="1134" w:type="dxa"/>
            <w:vMerge w:val="continue"/>
            <w:vAlign w:val="center"/>
          </w:tcPr>
          <w:p>
            <w:pPr>
              <w:tabs>
                <w:tab w:val="center" w:pos="4153"/>
                <w:tab w:val="right" w:pos="8306"/>
              </w:tabs>
              <w:snapToGrid w:val="0"/>
              <w:spacing w:line="240" w:lineRule="exact"/>
              <w:jc w:val="center"/>
              <w:rPr>
                <w:rFonts w:ascii="宋体" w:hAnsi="宋体"/>
                <w:sz w:val="18"/>
              </w:rPr>
            </w:pPr>
          </w:p>
        </w:tc>
        <w:tc>
          <w:tcPr>
            <w:tcW w:w="1559" w:type="dxa"/>
            <w:vMerge w:val="continue"/>
            <w:vAlign w:val="center"/>
          </w:tcPr>
          <w:p>
            <w:pPr>
              <w:tabs>
                <w:tab w:val="center" w:pos="4153"/>
                <w:tab w:val="right" w:pos="8306"/>
              </w:tabs>
              <w:snapToGrid w:val="0"/>
              <w:spacing w:line="240" w:lineRule="exact"/>
              <w:jc w:val="center"/>
              <w:rPr>
                <w:rFonts w:ascii="宋体" w:hAnsi="宋体"/>
                <w:sz w:val="18"/>
              </w:rPr>
            </w:pPr>
          </w:p>
        </w:tc>
        <w:tc>
          <w:tcPr>
            <w:tcW w:w="1276" w:type="dxa"/>
            <w:vMerge w:val="continue"/>
            <w:vAlign w:val="center"/>
          </w:tcPr>
          <w:p>
            <w:pPr>
              <w:tabs>
                <w:tab w:val="center" w:pos="4153"/>
                <w:tab w:val="right" w:pos="8306"/>
              </w:tabs>
              <w:snapToGrid w:val="0"/>
              <w:spacing w:line="240" w:lineRule="exact"/>
              <w:jc w:val="center"/>
              <w:rPr>
                <w:rFonts w:ascii="宋体" w:hAnsi="宋体"/>
                <w:sz w:val="18"/>
              </w:rPr>
            </w:pPr>
          </w:p>
        </w:tc>
        <w:tc>
          <w:tcPr>
            <w:tcW w:w="1418" w:type="dxa"/>
            <w:vMerge w:val="continue"/>
            <w:vAlign w:val="center"/>
          </w:tcPr>
          <w:p>
            <w:pPr>
              <w:tabs>
                <w:tab w:val="center" w:pos="4153"/>
                <w:tab w:val="right" w:pos="8306"/>
              </w:tabs>
              <w:snapToGrid w:val="0"/>
              <w:spacing w:line="240" w:lineRule="exact"/>
              <w:jc w:val="center"/>
              <w:rPr>
                <w:rFonts w:ascii="宋体" w:hAnsi="宋体"/>
                <w:sz w:val="18"/>
              </w:rPr>
            </w:pPr>
          </w:p>
        </w:tc>
        <w:tc>
          <w:tcPr>
            <w:tcW w:w="1166" w:type="dxa"/>
            <w:vMerge w:val="continue"/>
            <w:vAlign w:val="center"/>
          </w:tcPr>
          <w:p>
            <w:pPr>
              <w:tabs>
                <w:tab w:val="center" w:pos="4153"/>
                <w:tab w:val="right" w:pos="8306"/>
              </w:tabs>
              <w:snapToGrid w:val="0"/>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40" w:lineRule="exact"/>
              <w:jc w:val="center"/>
              <w:rPr>
                <w:rFonts w:ascii="宋体" w:hAnsi="宋体"/>
                <w:sz w:val="18"/>
              </w:rPr>
            </w:pPr>
          </w:p>
        </w:tc>
        <w:tc>
          <w:tcPr>
            <w:tcW w:w="1134" w:type="dxa"/>
            <w:vMerge w:val="continue"/>
            <w:vAlign w:val="center"/>
          </w:tcPr>
          <w:p>
            <w:pPr>
              <w:tabs>
                <w:tab w:val="center" w:pos="4153"/>
                <w:tab w:val="right" w:pos="8306"/>
              </w:tabs>
              <w:snapToGrid w:val="0"/>
              <w:spacing w:line="240" w:lineRule="exact"/>
              <w:jc w:val="center"/>
              <w:rPr>
                <w:rFonts w:ascii="宋体" w:hAnsi="宋体"/>
                <w:sz w:val="18"/>
              </w:rPr>
            </w:pPr>
          </w:p>
        </w:tc>
        <w:tc>
          <w:tcPr>
            <w:tcW w:w="851" w:type="dxa"/>
            <w:vMerge w:val="continue"/>
            <w:vAlign w:val="center"/>
          </w:tcPr>
          <w:p>
            <w:pPr>
              <w:tabs>
                <w:tab w:val="center" w:pos="4153"/>
                <w:tab w:val="right" w:pos="8306"/>
              </w:tabs>
              <w:snapToGrid w:val="0"/>
              <w:spacing w:line="240" w:lineRule="exact"/>
              <w:jc w:val="center"/>
              <w:rPr>
                <w:rFonts w:ascii="宋体" w:hAnsi="宋体"/>
                <w:sz w:val="18"/>
              </w:rPr>
            </w:pPr>
          </w:p>
        </w:tc>
        <w:tc>
          <w:tcPr>
            <w:tcW w:w="1134" w:type="dxa"/>
            <w:vMerge w:val="continue"/>
            <w:vAlign w:val="center"/>
          </w:tcPr>
          <w:p>
            <w:pPr>
              <w:tabs>
                <w:tab w:val="center" w:pos="4153"/>
                <w:tab w:val="right" w:pos="8306"/>
              </w:tabs>
              <w:snapToGrid w:val="0"/>
              <w:spacing w:line="240" w:lineRule="exact"/>
              <w:jc w:val="center"/>
              <w:rPr>
                <w:rFonts w:ascii="方正黑体简体" w:eastAsia="方正黑体简体"/>
                <w:sz w:val="18"/>
              </w:rPr>
            </w:pPr>
          </w:p>
        </w:tc>
        <w:tc>
          <w:tcPr>
            <w:tcW w:w="3827" w:type="dxa"/>
            <w:vAlign w:val="center"/>
          </w:tcPr>
          <w:p>
            <w:pPr>
              <w:tabs>
                <w:tab w:val="center" w:pos="4153"/>
                <w:tab w:val="right" w:pos="8306"/>
              </w:tabs>
              <w:snapToGrid w:val="0"/>
              <w:spacing w:line="240" w:lineRule="exact"/>
              <w:jc w:val="left"/>
              <w:rPr>
                <w:rFonts w:ascii="宋体" w:hAnsi="宋体"/>
                <w:sz w:val="18"/>
              </w:rPr>
            </w:pPr>
            <w:r>
              <w:rPr>
                <w:rFonts w:hint="eastAsia" w:ascii="宋体" w:hAnsi="宋体"/>
                <w:sz w:val="18"/>
              </w:rPr>
              <w:t>果壳箱深度清洗</w:t>
            </w:r>
          </w:p>
        </w:tc>
        <w:tc>
          <w:tcPr>
            <w:tcW w:w="1134" w:type="dxa"/>
            <w:vMerge w:val="continue"/>
            <w:vAlign w:val="center"/>
          </w:tcPr>
          <w:p>
            <w:pPr>
              <w:tabs>
                <w:tab w:val="center" w:pos="4153"/>
                <w:tab w:val="right" w:pos="8306"/>
              </w:tabs>
              <w:snapToGrid w:val="0"/>
              <w:spacing w:line="240" w:lineRule="exact"/>
              <w:jc w:val="center"/>
              <w:rPr>
                <w:rFonts w:ascii="宋体" w:hAnsi="宋体"/>
                <w:sz w:val="18"/>
              </w:rPr>
            </w:pPr>
          </w:p>
        </w:tc>
        <w:tc>
          <w:tcPr>
            <w:tcW w:w="1559" w:type="dxa"/>
            <w:vMerge w:val="continue"/>
            <w:vAlign w:val="center"/>
          </w:tcPr>
          <w:p>
            <w:pPr>
              <w:tabs>
                <w:tab w:val="center" w:pos="4153"/>
                <w:tab w:val="right" w:pos="8306"/>
              </w:tabs>
              <w:snapToGrid w:val="0"/>
              <w:spacing w:line="240" w:lineRule="exact"/>
              <w:jc w:val="center"/>
              <w:rPr>
                <w:rFonts w:ascii="宋体" w:hAnsi="宋体"/>
                <w:sz w:val="18"/>
              </w:rPr>
            </w:pPr>
          </w:p>
        </w:tc>
        <w:tc>
          <w:tcPr>
            <w:tcW w:w="1276" w:type="dxa"/>
            <w:vMerge w:val="continue"/>
            <w:vAlign w:val="center"/>
          </w:tcPr>
          <w:p>
            <w:pPr>
              <w:tabs>
                <w:tab w:val="center" w:pos="4153"/>
                <w:tab w:val="right" w:pos="8306"/>
              </w:tabs>
              <w:snapToGrid w:val="0"/>
              <w:spacing w:line="240" w:lineRule="exact"/>
              <w:jc w:val="center"/>
              <w:rPr>
                <w:rFonts w:ascii="宋体" w:hAnsi="宋体"/>
                <w:sz w:val="18"/>
              </w:rPr>
            </w:pPr>
          </w:p>
        </w:tc>
        <w:tc>
          <w:tcPr>
            <w:tcW w:w="1418" w:type="dxa"/>
            <w:vMerge w:val="continue"/>
            <w:vAlign w:val="center"/>
          </w:tcPr>
          <w:p>
            <w:pPr>
              <w:tabs>
                <w:tab w:val="center" w:pos="4153"/>
                <w:tab w:val="right" w:pos="8306"/>
              </w:tabs>
              <w:snapToGrid w:val="0"/>
              <w:spacing w:line="240" w:lineRule="exact"/>
              <w:jc w:val="center"/>
              <w:rPr>
                <w:rFonts w:ascii="宋体" w:hAnsi="宋体"/>
                <w:sz w:val="18"/>
              </w:rPr>
            </w:pPr>
          </w:p>
        </w:tc>
        <w:tc>
          <w:tcPr>
            <w:tcW w:w="1166" w:type="dxa"/>
            <w:vMerge w:val="continue"/>
            <w:vAlign w:val="center"/>
          </w:tcPr>
          <w:p>
            <w:pPr>
              <w:tabs>
                <w:tab w:val="center" w:pos="4153"/>
                <w:tab w:val="right" w:pos="8306"/>
              </w:tabs>
              <w:snapToGrid w:val="0"/>
              <w:spacing w:line="240" w:lineRule="exact"/>
              <w:jc w:val="center"/>
              <w:rPr>
                <w:rFonts w:ascii="宋体" w:hAnsi="宋体"/>
                <w:sz w:val="18"/>
              </w:rPr>
            </w:pPr>
          </w:p>
        </w:tc>
      </w:tr>
    </w:tbl>
    <w:p>
      <w:pPr>
        <w:pStyle w:val="2"/>
        <w:spacing w:line="220" w:lineRule="exact"/>
        <w:ind w:firstLine="0" w:firstLineChars="0"/>
        <w:rPr>
          <w:rFonts w:cs="Calibri"/>
          <w:bCs/>
          <w:sz w:val="21"/>
          <w:szCs w:val="21"/>
        </w:rPr>
      </w:pPr>
    </w:p>
    <w:p>
      <w:pPr>
        <w:autoSpaceDE w:val="0"/>
        <w:spacing w:line="560" w:lineRule="exact"/>
        <w:jc w:val="center"/>
        <w:rPr>
          <w:rFonts w:ascii="黑体" w:hAnsi="黑体" w:eastAsia="黑体"/>
          <w:bCs/>
          <w:sz w:val="32"/>
          <w:szCs w:val="32"/>
        </w:rPr>
      </w:pPr>
      <w:r>
        <w:rPr>
          <w:rFonts w:hint="eastAsia" w:ascii="仿宋_GB2312" w:hAnsi="仿宋" w:eastAsia="仿宋_GB2312"/>
          <w:bCs/>
          <w:sz w:val="32"/>
          <w:szCs w:val="32"/>
        </w:rPr>
        <w:t>岱山县“席地能坐”保洁区创建明细表</w:t>
      </w:r>
    </w:p>
    <w:p>
      <w:pPr>
        <w:spacing w:line="560" w:lineRule="exact"/>
        <w:ind w:firstLine="640" w:firstLineChars="200"/>
        <w:rPr>
          <w:rFonts w:ascii="仿宋_GB2312" w:eastAsia="仿宋_GB2312"/>
          <w:sz w:val="32"/>
          <w:szCs w:val="32"/>
        </w:rPr>
      </w:pPr>
    </w:p>
    <w:tbl>
      <w:tblPr>
        <w:tblStyle w:val="11"/>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134"/>
        <w:gridCol w:w="851"/>
        <w:gridCol w:w="1134"/>
        <w:gridCol w:w="3827"/>
        <w:gridCol w:w="1134"/>
        <w:gridCol w:w="1559"/>
        <w:gridCol w:w="1276"/>
        <w:gridCol w:w="1418"/>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点位</w:t>
            </w:r>
            <w:r>
              <w:rPr>
                <w:rFonts w:hint="eastAsia" w:cs="Calibri"/>
                <w:b/>
                <w:bCs/>
                <w:sz w:val="21"/>
                <w:szCs w:val="21"/>
              </w:rPr>
              <w:t>3</w:t>
            </w:r>
          </w:p>
        </w:tc>
        <w:tc>
          <w:tcPr>
            <w:tcW w:w="1134"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创建区域</w:t>
            </w:r>
          </w:p>
        </w:tc>
        <w:tc>
          <w:tcPr>
            <w:tcW w:w="851"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面积</w:t>
            </w:r>
          </w:p>
        </w:tc>
        <w:tc>
          <w:tcPr>
            <w:tcW w:w="1134"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保洁项目</w:t>
            </w:r>
          </w:p>
        </w:tc>
        <w:tc>
          <w:tcPr>
            <w:tcW w:w="3827"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工作内容</w:t>
            </w:r>
          </w:p>
        </w:tc>
        <w:tc>
          <w:tcPr>
            <w:tcW w:w="1134"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保洁人员</w:t>
            </w:r>
          </w:p>
        </w:tc>
        <w:tc>
          <w:tcPr>
            <w:tcW w:w="1559"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作业时段</w:t>
            </w:r>
          </w:p>
        </w:tc>
        <w:tc>
          <w:tcPr>
            <w:tcW w:w="1276"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设施设备</w:t>
            </w:r>
          </w:p>
        </w:tc>
        <w:tc>
          <w:tcPr>
            <w:tcW w:w="1418"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硬件改造</w:t>
            </w:r>
          </w:p>
        </w:tc>
        <w:tc>
          <w:tcPr>
            <w:tcW w:w="1166" w:type="dxa"/>
            <w:vAlign w:val="center"/>
          </w:tcPr>
          <w:p>
            <w:pPr>
              <w:pStyle w:val="2"/>
              <w:tabs>
                <w:tab w:val="center" w:pos="4153"/>
                <w:tab w:val="right" w:pos="8306"/>
              </w:tabs>
              <w:snapToGrid w:val="0"/>
              <w:spacing w:line="260" w:lineRule="exact"/>
              <w:ind w:firstLine="0" w:firstLineChars="0"/>
              <w:jc w:val="center"/>
              <w:rPr>
                <w:rFonts w:cs="Calibri"/>
                <w:b/>
                <w:bCs/>
                <w:sz w:val="21"/>
                <w:szCs w:val="21"/>
              </w:rPr>
            </w:pPr>
            <w:r>
              <w:rPr>
                <w:rFonts w:cs="Calibri"/>
                <w:b/>
                <w:bCs/>
                <w:sz w:val="21"/>
                <w:szCs w:val="21"/>
              </w:rPr>
              <w:t>创建类别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pStyle w:val="2"/>
              <w:tabs>
                <w:tab w:val="center" w:pos="4153"/>
                <w:tab w:val="right" w:pos="8306"/>
              </w:tabs>
              <w:snapToGrid w:val="0"/>
              <w:spacing w:line="260" w:lineRule="exact"/>
              <w:ind w:firstLine="0" w:firstLineChars="0"/>
              <w:jc w:val="center"/>
              <w:rPr>
                <w:rFonts w:cs="Calibri"/>
                <w:sz w:val="21"/>
                <w:szCs w:val="21"/>
              </w:rPr>
            </w:pPr>
            <w:r>
              <w:rPr>
                <w:rFonts w:hint="eastAsia" w:cs="Calibri"/>
                <w:sz w:val="21"/>
                <w:szCs w:val="21"/>
              </w:rPr>
              <w:t>夜经济带休闲角</w:t>
            </w:r>
          </w:p>
        </w:tc>
        <w:tc>
          <w:tcPr>
            <w:tcW w:w="1134" w:type="dxa"/>
            <w:vMerge w:val="restart"/>
            <w:vAlign w:val="center"/>
          </w:tcPr>
          <w:p>
            <w:pPr>
              <w:pStyle w:val="2"/>
              <w:tabs>
                <w:tab w:val="center" w:pos="4153"/>
                <w:tab w:val="right" w:pos="8306"/>
              </w:tabs>
              <w:snapToGrid w:val="0"/>
              <w:spacing w:line="260" w:lineRule="exact"/>
              <w:ind w:firstLine="0" w:firstLineChars="0"/>
              <w:jc w:val="center"/>
              <w:rPr>
                <w:rFonts w:cs="Calibri"/>
                <w:sz w:val="21"/>
                <w:szCs w:val="21"/>
              </w:rPr>
            </w:pPr>
            <w:r>
              <w:rPr>
                <w:rFonts w:hint="eastAsia" w:cs="Calibri"/>
                <w:sz w:val="21"/>
                <w:szCs w:val="21"/>
              </w:rPr>
              <w:t>夜经济带休闲角（位于人民路与和谐路交界口，中心菜场对面）</w:t>
            </w:r>
          </w:p>
        </w:tc>
        <w:tc>
          <w:tcPr>
            <w:tcW w:w="851" w:type="dxa"/>
            <w:vMerge w:val="restart"/>
            <w:vAlign w:val="center"/>
          </w:tcPr>
          <w:p>
            <w:pPr>
              <w:pStyle w:val="2"/>
              <w:tabs>
                <w:tab w:val="center" w:pos="4153"/>
                <w:tab w:val="right" w:pos="8306"/>
              </w:tabs>
              <w:snapToGrid w:val="0"/>
              <w:spacing w:line="260" w:lineRule="exact"/>
              <w:ind w:firstLine="0" w:firstLineChars="0"/>
              <w:jc w:val="center"/>
              <w:rPr>
                <w:rFonts w:cs="Calibri"/>
                <w:sz w:val="21"/>
                <w:szCs w:val="21"/>
              </w:rPr>
            </w:pPr>
            <w:r>
              <w:rPr>
                <w:rFonts w:hint="eastAsia" w:cs="Calibri"/>
                <w:bCs/>
                <w:sz w:val="21"/>
                <w:szCs w:val="21"/>
              </w:rPr>
              <w:t>200</w:t>
            </w:r>
            <w:r>
              <w:rPr>
                <w:rFonts w:cs="Calibri"/>
                <w:bCs/>
                <w:sz w:val="21"/>
                <w:szCs w:val="21"/>
              </w:rPr>
              <w:t>平方米</w:t>
            </w:r>
          </w:p>
        </w:tc>
        <w:tc>
          <w:tcPr>
            <w:tcW w:w="1134" w:type="dxa"/>
            <w:vMerge w:val="restart"/>
            <w:vAlign w:val="center"/>
          </w:tcPr>
          <w:p>
            <w:pPr>
              <w:tabs>
                <w:tab w:val="center" w:pos="4153"/>
                <w:tab w:val="right" w:pos="8306"/>
              </w:tabs>
              <w:snapToGrid w:val="0"/>
              <w:spacing w:line="260" w:lineRule="exact"/>
              <w:jc w:val="center"/>
              <w:rPr>
                <w:rFonts w:ascii="宋体" w:hAnsi="宋体"/>
              </w:rPr>
            </w:pPr>
            <w:r>
              <w:rPr>
                <w:rFonts w:hint="eastAsia" w:ascii="宋体" w:hAnsi="宋体"/>
              </w:rPr>
              <w:t>地</w:t>
            </w:r>
          </w:p>
          <w:p>
            <w:pPr>
              <w:tabs>
                <w:tab w:val="center" w:pos="4153"/>
                <w:tab w:val="right" w:pos="8306"/>
              </w:tabs>
              <w:snapToGrid w:val="0"/>
              <w:spacing w:line="260" w:lineRule="exact"/>
              <w:jc w:val="center"/>
              <w:rPr>
                <w:rFonts w:ascii="宋体" w:hAnsi="宋体"/>
              </w:rPr>
            </w:pPr>
            <w:r>
              <w:rPr>
                <w:rFonts w:hint="eastAsia" w:ascii="宋体" w:hAnsi="宋体"/>
              </w:rPr>
              <w:t>面</w:t>
            </w:r>
          </w:p>
          <w:p>
            <w:pPr>
              <w:tabs>
                <w:tab w:val="center" w:pos="4153"/>
                <w:tab w:val="right" w:pos="8306"/>
              </w:tabs>
              <w:snapToGrid w:val="0"/>
              <w:spacing w:line="260" w:lineRule="exact"/>
              <w:jc w:val="center"/>
              <w:rPr>
                <w:rFonts w:ascii="宋体" w:hAnsi="宋体"/>
              </w:rPr>
            </w:pPr>
            <w:r>
              <w:rPr>
                <w:rFonts w:hint="eastAsia" w:ascii="宋体" w:hAnsi="宋体"/>
              </w:rPr>
              <w:t>路</w:t>
            </w:r>
          </w:p>
          <w:p>
            <w:pPr>
              <w:tabs>
                <w:tab w:val="center" w:pos="4153"/>
                <w:tab w:val="right" w:pos="8306"/>
              </w:tabs>
              <w:snapToGrid w:val="0"/>
              <w:spacing w:line="260" w:lineRule="exact"/>
              <w:jc w:val="center"/>
              <w:rPr>
                <w:rFonts w:ascii="宋体" w:hAnsi="宋体"/>
              </w:rPr>
            </w:pPr>
            <w:r>
              <w:rPr>
                <w:rFonts w:hint="eastAsia" w:ascii="宋体" w:hAnsi="宋体"/>
              </w:rPr>
              <w:t>面</w:t>
            </w: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地面清扫</w:t>
            </w:r>
          </w:p>
        </w:tc>
        <w:tc>
          <w:tcPr>
            <w:tcW w:w="1134" w:type="dxa"/>
            <w:vMerge w:val="restart"/>
            <w:vAlign w:val="center"/>
          </w:tcPr>
          <w:p>
            <w:pPr>
              <w:pStyle w:val="2"/>
              <w:tabs>
                <w:tab w:val="center" w:pos="4153"/>
                <w:tab w:val="right" w:pos="8306"/>
              </w:tabs>
              <w:snapToGrid w:val="0"/>
              <w:spacing w:line="260" w:lineRule="exact"/>
              <w:ind w:firstLine="0" w:firstLineChars="0"/>
              <w:jc w:val="center"/>
              <w:rPr>
                <w:rFonts w:cs="Calibri"/>
                <w:sz w:val="21"/>
                <w:szCs w:val="21"/>
              </w:rPr>
            </w:pPr>
            <w:r>
              <w:rPr>
                <w:rFonts w:hint="eastAsia" w:cs="Calibri"/>
                <w:sz w:val="21"/>
                <w:szCs w:val="21"/>
              </w:rPr>
              <w:t>1名</w:t>
            </w:r>
          </w:p>
        </w:tc>
        <w:tc>
          <w:tcPr>
            <w:tcW w:w="1559" w:type="dxa"/>
            <w:vMerge w:val="restart"/>
            <w:vAlign w:val="center"/>
          </w:tcPr>
          <w:p>
            <w:pPr>
              <w:pStyle w:val="2"/>
              <w:tabs>
                <w:tab w:val="center" w:pos="4153"/>
                <w:tab w:val="right" w:pos="8306"/>
              </w:tabs>
              <w:snapToGrid w:val="0"/>
              <w:spacing w:line="260" w:lineRule="exact"/>
              <w:ind w:firstLine="0" w:firstLineChars="0"/>
              <w:jc w:val="left"/>
              <w:rPr>
                <w:rFonts w:cs="Calibri"/>
                <w:sz w:val="21"/>
                <w:szCs w:val="21"/>
              </w:rPr>
            </w:pPr>
            <w:r>
              <w:rPr>
                <w:rFonts w:hint="eastAsia" w:cs="Calibri"/>
                <w:sz w:val="21"/>
                <w:szCs w:val="21"/>
              </w:rPr>
              <w:t>06:00-10:00；13:00-17:00</w:t>
            </w:r>
          </w:p>
        </w:tc>
        <w:tc>
          <w:tcPr>
            <w:tcW w:w="1276" w:type="dxa"/>
            <w:vMerge w:val="restart"/>
            <w:vAlign w:val="center"/>
          </w:tcPr>
          <w:p>
            <w:pPr>
              <w:pStyle w:val="2"/>
              <w:tabs>
                <w:tab w:val="center" w:pos="4153"/>
                <w:tab w:val="right" w:pos="8306"/>
              </w:tabs>
              <w:snapToGrid w:val="0"/>
              <w:spacing w:line="260" w:lineRule="exact"/>
              <w:ind w:firstLine="0" w:firstLineChars="0"/>
              <w:jc w:val="left"/>
              <w:rPr>
                <w:rFonts w:cs="Calibri"/>
                <w:sz w:val="21"/>
                <w:szCs w:val="21"/>
              </w:rPr>
            </w:pPr>
            <w:r>
              <w:rPr>
                <w:rFonts w:hint="eastAsia" w:cs="Calibri"/>
                <w:sz w:val="21"/>
                <w:szCs w:val="21"/>
              </w:rPr>
              <w:t>配备专业除胶剂、小铲刀、湿抹布、干抹布、水桶、火钳等专业工具。结合保洁需求，新增采购保洁专用手推车、高压冲洗机、落叶吹风机等机械设备若干。</w:t>
            </w:r>
          </w:p>
        </w:tc>
        <w:tc>
          <w:tcPr>
            <w:tcW w:w="1418" w:type="dxa"/>
            <w:vMerge w:val="restart"/>
            <w:vAlign w:val="center"/>
          </w:tcPr>
          <w:p>
            <w:pPr>
              <w:pStyle w:val="2"/>
              <w:tabs>
                <w:tab w:val="center" w:pos="4153"/>
                <w:tab w:val="right" w:pos="8306"/>
              </w:tabs>
              <w:snapToGrid w:val="0"/>
              <w:spacing w:line="260" w:lineRule="exact"/>
              <w:ind w:firstLine="0" w:firstLineChars="0"/>
              <w:rPr>
                <w:rFonts w:cs="Calibri"/>
                <w:sz w:val="21"/>
                <w:szCs w:val="21"/>
              </w:rPr>
            </w:pPr>
            <w:r>
              <w:rPr>
                <w:rFonts w:hint="eastAsia" w:cs="Calibri"/>
                <w:sz w:val="21"/>
                <w:szCs w:val="21"/>
              </w:rPr>
              <w:t>（1）增设导览图；（2）完成绿植补种。</w:t>
            </w:r>
          </w:p>
        </w:tc>
        <w:tc>
          <w:tcPr>
            <w:tcW w:w="1166" w:type="dxa"/>
            <w:vMerge w:val="restart"/>
            <w:vAlign w:val="center"/>
          </w:tcPr>
          <w:p>
            <w:pPr>
              <w:pStyle w:val="2"/>
              <w:tabs>
                <w:tab w:val="center" w:pos="4153"/>
                <w:tab w:val="right" w:pos="8306"/>
              </w:tabs>
              <w:snapToGrid w:val="0"/>
              <w:spacing w:line="260" w:lineRule="exact"/>
              <w:ind w:firstLine="0" w:firstLineChars="0"/>
              <w:jc w:val="center"/>
              <w:rPr>
                <w:rFonts w:cs="Calibri"/>
                <w:sz w:val="21"/>
                <w:szCs w:val="21"/>
              </w:rPr>
            </w:pPr>
            <w:r>
              <w:rPr>
                <w:rFonts w:hint="eastAsia" w:cs="Calibri"/>
                <w:sz w:val="21"/>
                <w:szCs w:val="21"/>
              </w:rPr>
              <w:t>休闲廊道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地面清洗、除污</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地面侧石、台阶清洗</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地面重度油污清洁</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地面机械深度清理</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地面缝隙内青苔、杂草清理</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地面窨井、格栅保洁</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墙角、树围保洁</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雨水井前面清淤、疏通</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restart"/>
            <w:vAlign w:val="center"/>
          </w:tcPr>
          <w:p>
            <w:pPr>
              <w:tabs>
                <w:tab w:val="center" w:pos="4153"/>
                <w:tab w:val="right" w:pos="8306"/>
              </w:tabs>
              <w:snapToGrid w:val="0"/>
              <w:spacing w:line="260" w:lineRule="exact"/>
              <w:jc w:val="center"/>
              <w:rPr>
                <w:rFonts w:ascii="宋体" w:hAnsi="宋体"/>
              </w:rPr>
            </w:pPr>
            <w:r>
              <w:rPr>
                <w:rFonts w:hint="eastAsia" w:ascii="宋体" w:hAnsi="宋体"/>
              </w:rPr>
              <w:t>城</w:t>
            </w:r>
          </w:p>
          <w:p>
            <w:pPr>
              <w:tabs>
                <w:tab w:val="center" w:pos="4153"/>
                <w:tab w:val="right" w:pos="8306"/>
              </w:tabs>
              <w:snapToGrid w:val="0"/>
              <w:spacing w:line="260" w:lineRule="exact"/>
              <w:jc w:val="center"/>
              <w:rPr>
                <w:rFonts w:ascii="宋体" w:hAnsi="宋体"/>
              </w:rPr>
            </w:pPr>
            <w:r>
              <w:rPr>
                <w:rFonts w:hint="eastAsia" w:ascii="宋体" w:hAnsi="宋体"/>
              </w:rPr>
              <w:t>市</w:t>
            </w:r>
          </w:p>
          <w:p>
            <w:pPr>
              <w:tabs>
                <w:tab w:val="center" w:pos="4153"/>
                <w:tab w:val="right" w:pos="8306"/>
              </w:tabs>
              <w:snapToGrid w:val="0"/>
              <w:spacing w:line="260" w:lineRule="exact"/>
              <w:jc w:val="center"/>
              <w:rPr>
                <w:rFonts w:ascii="宋体" w:hAnsi="宋体"/>
              </w:rPr>
            </w:pPr>
            <w:r>
              <w:rPr>
                <w:rFonts w:hint="eastAsia" w:ascii="宋体" w:hAnsi="宋体"/>
              </w:rPr>
              <w:t>家</w:t>
            </w:r>
          </w:p>
          <w:p>
            <w:pPr>
              <w:tabs>
                <w:tab w:val="center" w:pos="4153"/>
                <w:tab w:val="right" w:pos="8306"/>
              </w:tabs>
              <w:snapToGrid w:val="0"/>
              <w:spacing w:line="260" w:lineRule="exact"/>
              <w:jc w:val="center"/>
              <w:rPr>
                <w:rFonts w:ascii="宋体" w:hAnsi="宋体"/>
              </w:rPr>
            </w:pPr>
            <w:r>
              <w:rPr>
                <w:rFonts w:hint="eastAsia" w:ascii="宋体" w:hAnsi="宋体"/>
              </w:rPr>
              <w:t>具</w:t>
            </w: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休闲椅、石凳、花坛边缘擦拭</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果壳箱擦拭，箱内垃圾袋更换</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城市雕塑擦拭</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扶手、拦杆擦拭</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标识标牌、灯柱杆（1.2m以下）擦拭</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851"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指引图、海报宣传栏、消防栓等擦拭</w:t>
            </w:r>
          </w:p>
        </w:tc>
        <w:tc>
          <w:tcPr>
            <w:tcW w:w="1134"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559"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27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418"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c>
          <w:tcPr>
            <w:tcW w:w="1166" w:type="dxa"/>
            <w:vMerge w:val="continue"/>
            <w:vAlign w:val="center"/>
          </w:tcPr>
          <w:p>
            <w:pPr>
              <w:pStyle w:val="2"/>
              <w:tabs>
                <w:tab w:val="center" w:pos="4153"/>
                <w:tab w:val="right" w:pos="8306"/>
              </w:tabs>
              <w:snapToGrid w:val="0"/>
              <w:spacing w:line="260" w:lineRule="exact"/>
              <w:ind w:firstLine="0" w:firstLineChars="0"/>
              <w:jc w:val="center"/>
              <w:rPr>
                <w:rFonts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851"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城市家具蜘蛛网清理</w:t>
            </w: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1559" w:type="dxa"/>
            <w:vMerge w:val="continue"/>
            <w:vAlign w:val="center"/>
          </w:tcPr>
          <w:p>
            <w:pPr>
              <w:tabs>
                <w:tab w:val="center" w:pos="4153"/>
                <w:tab w:val="right" w:pos="8306"/>
              </w:tabs>
              <w:snapToGrid w:val="0"/>
              <w:spacing w:line="260" w:lineRule="exact"/>
              <w:jc w:val="center"/>
              <w:rPr>
                <w:rFonts w:ascii="宋体" w:hAnsi="宋体"/>
              </w:rPr>
            </w:pPr>
          </w:p>
        </w:tc>
        <w:tc>
          <w:tcPr>
            <w:tcW w:w="1276" w:type="dxa"/>
            <w:vMerge w:val="continue"/>
            <w:vAlign w:val="center"/>
          </w:tcPr>
          <w:p>
            <w:pPr>
              <w:tabs>
                <w:tab w:val="center" w:pos="4153"/>
                <w:tab w:val="right" w:pos="8306"/>
              </w:tabs>
              <w:snapToGrid w:val="0"/>
              <w:spacing w:line="260" w:lineRule="exact"/>
              <w:jc w:val="center"/>
              <w:rPr>
                <w:rFonts w:ascii="宋体" w:hAnsi="宋体"/>
              </w:rPr>
            </w:pPr>
          </w:p>
        </w:tc>
        <w:tc>
          <w:tcPr>
            <w:tcW w:w="1418" w:type="dxa"/>
            <w:vMerge w:val="continue"/>
            <w:vAlign w:val="center"/>
          </w:tcPr>
          <w:p>
            <w:pPr>
              <w:tabs>
                <w:tab w:val="center" w:pos="4153"/>
                <w:tab w:val="right" w:pos="8306"/>
              </w:tabs>
              <w:snapToGrid w:val="0"/>
              <w:spacing w:line="260" w:lineRule="exact"/>
              <w:jc w:val="center"/>
              <w:rPr>
                <w:rFonts w:ascii="宋体" w:hAnsi="宋体"/>
              </w:rPr>
            </w:pPr>
          </w:p>
        </w:tc>
        <w:tc>
          <w:tcPr>
            <w:tcW w:w="1166" w:type="dxa"/>
            <w:vMerge w:val="continue"/>
            <w:vAlign w:val="center"/>
          </w:tcPr>
          <w:p>
            <w:pPr>
              <w:tabs>
                <w:tab w:val="center" w:pos="4153"/>
                <w:tab w:val="right" w:pos="8306"/>
              </w:tabs>
              <w:snapToGrid w:val="0"/>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851"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restart"/>
            <w:vAlign w:val="center"/>
          </w:tcPr>
          <w:p>
            <w:pPr>
              <w:tabs>
                <w:tab w:val="center" w:pos="4153"/>
                <w:tab w:val="right" w:pos="8306"/>
              </w:tabs>
              <w:snapToGrid w:val="0"/>
              <w:spacing w:line="260" w:lineRule="exact"/>
              <w:jc w:val="center"/>
              <w:rPr>
                <w:rFonts w:ascii="宋体" w:hAnsi="宋体"/>
              </w:rPr>
            </w:pPr>
            <w:r>
              <w:rPr>
                <w:rFonts w:hint="eastAsia" w:ascii="宋体" w:hAnsi="宋体"/>
              </w:rPr>
              <w:t>绿</w:t>
            </w:r>
          </w:p>
          <w:p>
            <w:pPr>
              <w:tabs>
                <w:tab w:val="center" w:pos="4153"/>
                <w:tab w:val="right" w:pos="8306"/>
              </w:tabs>
              <w:snapToGrid w:val="0"/>
              <w:spacing w:line="260" w:lineRule="exact"/>
              <w:jc w:val="center"/>
              <w:rPr>
                <w:rFonts w:ascii="宋体" w:hAnsi="宋体"/>
              </w:rPr>
            </w:pPr>
            <w:r>
              <w:rPr>
                <w:rFonts w:hint="eastAsia" w:ascii="宋体" w:hAnsi="宋体"/>
              </w:rPr>
              <w:t>化</w:t>
            </w:r>
          </w:p>
          <w:p>
            <w:pPr>
              <w:tabs>
                <w:tab w:val="center" w:pos="4153"/>
                <w:tab w:val="right" w:pos="8306"/>
              </w:tabs>
              <w:snapToGrid w:val="0"/>
              <w:spacing w:line="260" w:lineRule="exact"/>
              <w:jc w:val="center"/>
              <w:rPr>
                <w:rFonts w:ascii="宋体" w:hAnsi="宋体"/>
              </w:rPr>
            </w:pPr>
            <w:r>
              <w:rPr>
                <w:rFonts w:hint="eastAsia" w:ascii="宋体" w:hAnsi="宋体"/>
              </w:rPr>
              <w:t>绿</w:t>
            </w:r>
          </w:p>
          <w:p>
            <w:pPr>
              <w:tabs>
                <w:tab w:val="center" w:pos="4153"/>
                <w:tab w:val="right" w:pos="8306"/>
              </w:tabs>
              <w:snapToGrid w:val="0"/>
              <w:spacing w:line="260" w:lineRule="exact"/>
              <w:jc w:val="center"/>
              <w:rPr>
                <w:rFonts w:ascii="宋体" w:hAnsi="宋体"/>
              </w:rPr>
            </w:pPr>
            <w:r>
              <w:rPr>
                <w:rFonts w:hint="eastAsia" w:ascii="宋体" w:hAnsi="宋体"/>
              </w:rPr>
              <w:t>地</w:t>
            </w: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绿化带、绿地内白色垃圾、烟蒂捡拾</w:t>
            </w: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1559" w:type="dxa"/>
            <w:vMerge w:val="continue"/>
            <w:vAlign w:val="center"/>
          </w:tcPr>
          <w:p>
            <w:pPr>
              <w:tabs>
                <w:tab w:val="center" w:pos="4153"/>
                <w:tab w:val="right" w:pos="8306"/>
              </w:tabs>
              <w:snapToGrid w:val="0"/>
              <w:spacing w:line="260" w:lineRule="exact"/>
              <w:jc w:val="center"/>
              <w:rPr>
                <w:rFonts w:ascii="宋体" w:hAnsi="宋体"/>
              </w:rPr>
            </w:pPr>
          </w:p>
        </w:tc>
        <w:tc>
          <w:tcPr>
            <w:tcW w:w="1276" w:type="dxa"/>
            <w:vMerge w:val="continue"/>
            <w:vAlign w:val="center"/>
          </w:tcPr>
          <w:p>
            <w:pPr>
              <w:tabs>
                <w:tab w:val="center" w:pos="4153"/>
                <w:tab w:val="right" w:pos="8306"/>
              </w:tabs>
              <w:snapToGrid w:val="0"/>
              <w:spacing w:line="260" w:lineRule="exact"/>
              <w:jc w:val="center"/>
              <w:rPr>
                <w:rFonts w:ascii="宋体" w:hAnsi="宋体"/>
              </w:rPr>
            </w:pPr>
          </w:p>
        </w:tc>
        <w:tc>
          <w:tcPr>
            <w:tcW w:w="1418" w:type="dxa"/>
            <w:vMerge w:val="continue"/>
            <w:vAlign w:val="center"/>
          </w:tcPr>
          <w:p>
            <w:pPr>
              <w:tabs>
                <w:tab w:val="center" w:pos="4153"/>
                <w:tab w:val="right" w:pos="8306"/>
              </w:tabs>
              <w:snapToGrid w:val="0"/>
              <w:spacing w:line="260" w:lineRule="exact"/>
              <w:jc w:val="center"/>
              <w:rPr>
                <w:rFonts w:ascii="宋体" w:hAnsi="宋体"/>
              </w:rPr>
            </w:pPr>
          </w:p>
        </w:tc>
        <w:tc>
          <w:tcPr>
            <w:tcW w:w="1166" w:type="dxa"/>
            <w:vMerge w:val="continue"/>
            <w:vAlign w:val="center"/>
          </w:tcPr>
          <w:p>
            <w:pPr>
              <w:tabs>
                <w:tab w:val="center" w:pos="4153"/>
                <w:tab w:val="right" w:pos="8306"/>
              </w:tabs>
              <w:snapToGrid w:val="0"/>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851"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绿化枯枝、死株清理</w:t>
            </w: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1559" w:type="dxa"/>
            <w:vMerge w:val="continue"/>
            <w:vAlign w:val="center"/>
          </w:tcPr>
          <w:p>
            <w:pPr>
              <w:tabs>
                <w:tab w:val="center" w:pos="4153"/>
                <w:tab w:val="right" w:pos="8306"/>
              </w:tabs>
              <w:snapToGrid w:val="0"/>
              <w:spacing w:line="260" w:lineRule="exact"/>
              <w:jc w:val="center"/>
              <w:rPr>
                <w:rFonts w:ascii="宋体" w:hAnsi="宋体"/>
              </w:rPr>
            </w:pPr>
          </w:p>
        </w:tc>
        <w:tc>
          <w:tcPr>
            <w:tcW w:w="1276" w:type="dxa"/>
            <w:vMerge w:val="continue"/>
            <w:vAlign w:val="center"/>
          </w:tcPr>
          <w:p>
            <w:pPr>
              <w:tabs>
                <w:tab w:val="center" w:pos="4153"/>
                <w:tab w:val="right" w:pos="8306"/>
              </w:tabs>
              <w:snapToGrid w:val="0"/>
              <w:spacing w:line="260" w:lineRule="exact"/>
              <w:jc w:val="center"/>
              <w:rPr>
                <w:rFonts w:ascii="宋体" w:hAnsi="宋体"/>
              </w:rPr>
            </w:pPr>
          </w:p>
        </w:tc>
        <w:tc>
          <w:tcPr>
            <w:tcW w:w="1418" w:type="dxa"/>
            <w:vMerge w:val="continue"/>
            <w:vAlign w:val="center"/>
          </w:tcPr>
          <w:p>
            <w:pPr>
              <w:tabs>
                <w:tab w:val="center" w:pos="4153"/>
                <w:tab w:val="right" w:pos="8306"/>
              </w:tabs>
              <w:snapToGrid w:val="0"/>
              <w:spacing w:line="260" w:lineRule="exact"/>
              <w:jc w:val="center"/>
              <w:rPr>
                <w:rFonts w:ascii="宋体" w:hAnsi="宋体"/>
              </w:rPr>
            </w:pPr>
          </w:p>
        </w:tc>
        <w:tc>
          <w:tcPr>
            <w:tcW w:w="1166" w:type="dxa"/>
            <w:vMerge w:val="continue"/>
            <w:vAlign w:val="center"/>
          </w:tcPr>
          <w:p>
            <w:pPr>
              <w:tabs>
                <w:tab w:val="center" w:pos="4153"/>
                <w:tab w:val="right" w:pos="8306"/>
              </w:tabs>
              <w:snapToGrid w:val="0"/>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851"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花坛侧石、立面清洗擦拭、花箱清洁</w:t>
            </w: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1559" w:type="dxa"/>
            <w:vMerge w:val="continue"/>
            <w:vAlign w:val="center"/>
          </w:tcPr>
          <w:p>
            <w:pPr>
              <w:tabs>
                <w:tab w:val="center" w:pos="4153"/>
                <w:tab w:val="right" w:pos="8306"/>
              </w:tabs>
              <w:snapToGrid w:val="0"/>
              <w:spacing w:line="260" w:lineRule="exact"/>
              <w:jc w:val="center"/>
              <w:rPr>
                <w:rFonts w:ascii="宋体" w:hAnsi="宋体"/>
              </w:rPr>
            </w:pPr>
          </w:p>
        </w:tc>
        <w:tc>
          <w:tcPr>
            <w:tcW w:w="1276" w:type="dxa"/>
            <w:vMerge w:val="continue"/>
            <w:vAlign w:val="center"/>
          </w:tcPr>
          <w:p>
            <w:pPr>
              <w:tabs>
                <w:tab w:val="center" w:pos="4153"/>
                <w:tab w:val="right" w:pos="8306"/>
              </w:tabs>
              <w:snapToGrid w:val="0"/>
              <w:spacing w:line="260" w:lineRule="exact"/>
              <w:jc w:val="center"/>
              <w:rPr>
                <w:rFonts w:ascii="宋体" w:hAnsi="宋体"/>
              </w:rPr>
            </w:pPr>
          </w:p>
        </w:tc>
        <w:tc>
          <w:tcPr>
            <w:tcW w:w="1418" w:type="dxa"/>
            <w:vMerge w:val="continue"/>
            <w:vAlign w:val="center"/>
          </w:tcPr>
          <w:p>
            <w:pPr>
              <w:tabs>
                <w:tab w:val="center" w:pos="4153"/>
                <w:tab w:val="right" w:pos="8306"/>
              </w:tabs>
              <w:snapToGrid w:val="0"/>
              <w:spacing w:line="260" w:lineRule="exact"/>
              <w:jc w:val="center"/>
              <w:rPr>
                <w:rFonts w:ascii="宋体" w:hAnsi="宋体"/>
              </w:rPr>
            </w:pPr>
          </w:p>
        </w:tc>
        <w:tc>
          <w:tcPr>
            <w:tcW w:w="1166" w:type="dxa"/>
            <w:vMerge w:val="continue"/>
            <w:vAlign w:val="center"/>
          </w:tcPr>
          <w:p>
            <w:pPr>
              <w:tabs>
                <w:tab w:val="center" w:pos="4153"/>
                <w:tab w:val="right" w:pos="8306"/>
              </w:tabs>
              <w:snapToGrid w:val="0"/>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851"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绿植表面冲洗</w:t>
            </w: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1559" w:type="dxa"/>
            <w:vMerge w:val="continue"/>
            <w:vAlign w:val="center"/>
          </w:tcPr>
          <w:p>
            <w:pPr>
              <w:tabs>
                <w:tab w:val="center" w:pos="4153"/>
                <w:tab w:val="right" w:pos="8306"/>
              </w:tabs>
              <w:snapToGrid w:val="0"/>
              <w:spacing w:line="260" w:lineRule="exact"/>
              <w:jc w:val="center"/>
              <w:rPr>
                <w:rFonts w:ascii="宋体" w:hAnsi="宋体"/>
              </w:rPr>
            </w:pPr>
          </w:p>
        </w:tc>
        <w:tc>
          <w:tcPr>
            <w:tcW w:w="1276" w:type="dxa"/>
            <w:vMerge w:val="continue"/>
            <w:vAlign w:val="center"/>
          </w:tcPr>
          <w:p>
            <w:pPr>
              <w:tabs>
                <w:tab w:val="center" w:pos="4153"/>
                <w:tab w:val="right" w:pos="8306"/>
              </w:tabs>
              <w:snapToGrid w:val="0"/>
              <w:spacing w:line="260" w:lineRule="exact"/>
              <w:jc w:val="center"/>
              <w:rPr>
                <w:rFonts w:ascii="宋体" w:hAnsi="宋体"/>
              </w:rPr>
            </w:pPr>
          </w:p>
        </w:tc>
        <w:tc>
          <w:tcPr>
            <w:tcW w:w="1418" w:type="dxa"/>
            <w:vMerge w:val="continue"/>
            <w:vAlign w:val="center"/>
          </w:tcPr>
          <w:p>
            <w:pPr>
              <w:tabs>
                <w:tab w:val="center" w:pos="4153"/>
                <w:tab w:val="right" w:pos="8306"/>
              </w:tabs>
              <w:snapToGrid w:val="0"/>
              <w:spacing w:line="260" w:lineRule="exact"/>
              <w:jc w:val="center"/>
              <w:rPr>
                <w:rFonts w:ascii="宋体" w:hAnsi="宋体"/>
              </w:rPr>
            </w:pPr>
          </w:p>
        </w:tc>
        <w:tc>
          <w:tcPr>
            <w:tcW w:w="1166" w:type="dxa"/>
            <w:vMerge w:val="continue"/>
            <w:vAlign w:val="center"/>
          </w:tcPr>
          <w:p>
            <w:pPr>
              <w:tabs>
                <w:tab w:val="center" w:pos="4153"/>
                <w:tab w:val="right" w:pos="8306"/>
              </w:tabs>
              <w:snapToGrid w:val="0"/>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851" w:type="dxa"/>
            <w:vMerge w:val="continue"/>
            <w:vAlign w:val="center"/>
          </w:tcPr>
          <w:p>
            <w:pPr>
              <w:tabs>
                <w:tab w:val="center" w:pos="4153"/>
                <w:tab w:val="right" w:pos="8306"/>
              </w:tabs>
              <w:snapToGrid w:val="0"/>
              <w:spacing w:line="260" w:lineRule="exact"/>
              <w:jc w:val="center"/>
              <w:rPr>
                <w:rFonts w:ascii="宋体" w:hAnsi="宋体"/>
              </w:rPr>
            </w:pP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雨水明沟垃圾清理、疏通</w:t>
            </w:r>
          </w:p>
        </w:tc>
        <w:tc>
          <w:tcPr>
            <w:tcW w:w="1134" w:type="dxa"/>
            <w:vMerge w:val="continue"/>
            <w:vAlign w:val="center"/>
          </w:tcPr>
          <w:p>
            <w:pPr>
              <w:tabs>
                <w:tab w:val="center" w:pos="4153"/>
                <w:tab w:val="right" w:pos="8306"/>
              </w:tabs>
              <w:snapToGrid w:val="0"/>
              <w:spacing w:line="260" w:lineRule="exact"/>
              <w:jc w:val="center"/>
              <w:rPr>
                <w:rFonts w:ascii="宋体" w:hAnsi="宋体"/>
              </w:rPr>
            </w:pPr>
          </w:p>
        </w:tc>
        <w:tc>
          <w:tcPr>
            <w:tcW w:w="1559" w:type="dxa"/>
            <w:vMerge w:val="continue"/>
            <w:vAlign w:val="center"/>
          </w:tcPr>
          <w:p>
            <w:pPr>
              <w:tabs>
                <w:tab w:val="center" w:pos="4153"/>
                <w:tab w:val="right" w:pos="8306"/>
              </w:tabs>
              <w:snapToGrid w:val="0"/>
              <w:spacing w:line="260" w:lineRule="exact"/>
              <w:jc w:val="center"/>
              <w:rPr>
                <w:rFonts w:ascii="宋体" w:hAnsi="宋体"/>
              </w:rPr>
            </w:pPr>
          </w:p>
        </w:tc>
        <w:tc>
          <w:tcPr>
            <w:tcW w:w="1276" w:type="dxa"/>
            <w:vMerge w:val="continue"/>
            <w:vAlign w:val="center"/>
          </w:tcPr>
          <w:p>
            <w:pPr>
              <w:tabs>
                <w:tab w:val="center" w:pos="4153"/>
                <w:tab w:val="right" w:pos="8306"/>
              </w:tabs>
              <w:snapToGrid w:val="0"/>
              <w:spacing w:line="260" w:lineRule="exact"/>
              <w:jc w:val="center"/>
              <w:rPr>
                <w:rFonts w:ascii="宋体" w:hAnsi="宋体"/>
              </w:rPr>
            </w:pPr>
          </w:p>
        </w:tc>
        <w:tc>
          <w:tcPr>
            <w:tcW w:w="1418" w:type="dxa"/>
            <w:vMerge w:val="continue"/>
            <w:vAlign w:val="center"/>
          </w:tcPr>
          <w:p>
            <w:pPr>
              <w:tabs>
                <w:tab w:val="center" w:pos="4153"/>
                <w:tab w:val="right" w:pos="8306"/>
              </w:tabs>
              <w:snapToGrid w:val="0"/>
              <w:spacing w:line="260" w:lineRule="exact"/>
              <w:jc w:val="center"/>
              <w:rPr>
                <w:rFonts w:ascii="宋体" w:hAnsi="宋体"/>
              </w:rPr>
            </w:pPr>
          </w:p>
        </w:tc>
        <w:tc>
          <w:tcPr>
            <w:tcW w:w="1166" w:type="dxa"/>
            <w:vMerge w:val="continue"/>
            <w:vAlign w:val="center"/>
          </w:tcPr>
          <w:p>
            <w:pPr>
              <w:tabs>
                <w:tab w:val="center" w:pos="4153"/>
                <w:tab w:val="right" w:pos="8306"/>
              </w:tabs>
              <w:snapToGrid w:val="0"/>
              <w:spacing w:line="260" w:lineRule="exact"/>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sz w:val="18"/>
              </w:rPr>
            </w:pPr>
          </w:p>
        </w:tc>
        <w:tc>
          <w:tcPr>
            <w:tcW w:w="1134" w:type="dxa"/>
            <w:vMerge w:val="continue"/>
            <w:vAlign w:val="center"/>
          </w:tcPr>
          <w:p>
            <w:pPr>
              <w:tabs>
                <w:tab w:val="center" w:pos="4153"/>
                <w:tab w:val="right" w:pos="8306"/>
              </w:tabs>
              <w:snapToGrid w:val="0"/>
              <w:spacing w:line="260" w:lineRule="exact"/>
              <w:jc w:val="center"/>
              <w:rPr>
                <w:rFonts w:ascii="宋体" w:hAnsi="宋体"/>
                <w:sz w:val="18"/>
              </w:rPr>
            </w:pPr>
          </w:p>
        </w:tc>
        <w:tc>
          <w:tcPr>
            <w:tcW w:w="851" w:type="dxa"/>
            <w:vMerge w:val="continue"/>
            <w:vAlign w:val="center"/>
          </w:tcPr>
          <w:p>
            <w:pPr>
              <w:tabs>
                <w:tab w:val="center" w:pos="4153"/>
                <w:tab w:val="right" w:pos="8306"/>
              </w:tabs>
              <w:snapToGrid w:val="0"/>
              <w:spacing w:line="260" w:lineRule="exact"/>
              <w:jc w:val="center"/>
              <w:rPr>
                <w:rFonts w:ascii="宋体" w:hAnsi="宋体"/>
                <w:sz w:val="18"/>
              </w:rPr>
            </w:pPr>
          </w:p>
        </w:tc>
        <w:tc>
          <w:tcPr>
            <w:tcW w:w="1134" w:type="dxa"/>
            <w:vMerge w:val="restart"/>
            <w:vAlign w:val="center"/>
          </w:tcPr>
          <w:p>
            <w:pPr>
              <w:tabs>
                <w:tab w:val="center" w:pos="4153"/>
                <w:tab w:val="right" w:pos="8306"/>
              </w:tabs>
              <w:snapToGrid w:val="0"/>
              <w:spacing w:line="260" w:lineRule="exact"/>
              <w:jc w:val="center"/>
              <w:rPr>
                <w:rFonts w:ascii="宋体" w:hAnsi="宋体"/>
              </w:rPr>
            </w:pPr>
            <w:r>
              <w:rPr>
                <w:rFonts w:hint="eastAsia" w:ascii="宋体" w:hAnsi="宋体"/>
              </w:rPr>
              <w:t>环</w:t>
            </w:r>
          </w:p>
          <w:p>
            <w:pPr>
              <w:tabs>
                <w:tab w:val="center" w:pos="4153"/>
                <w:tab w:val="right" w:pos="8306"/>
              </w:tabs>
              <w:snapToGrid w:val="0"/>
              <w:spacing w:line="260" w:lineRule="exact"/>
              <w:jc w:val="center"/>
              <w:rPr>
                <w:rFonts w:ascii="宋体" w:hAnsi="宋体"/>
              </w:rPr>
            </w:pPr>
            <w:r>
              <w:rPr>
                <w:rFonts w:hint="eastAsia" w:ascii="宋体" w:hAnsi="宋体"/>
              </w:rPr>
              <w:t>卫</w:t>
            </w:r>
          </w:p>
          <w:p>
            <w:pPr>
              <w:tabs>
                <w:tab w:val="center" w:pos="4153"/>
                <w:tab w:val="right" w:pos="8306"/>
              </w:tabs>
              <w:snapToGrid w:val="0"/>
              <w:spacing w:line="260" w:lineRule="exact"/>
              <w:jc w:val="center"/>
              <w:rPr>
                <w:rFonts w:ascii="宋体" w:hAnsi="宋体"/>
              </w:rPr>
            </w:pPr>
            <w:r>
              <w:rPr>
                <w:rFonts w:hint="eastAsia" w:ascii="宋体" w:hAnsi="宋体"/>
              </w:rPr>
              <w:t>设</w:t>
            </w:r>
          </w:p>
          <w:p>
            <w:pPr>
              <w:tabs>
                <w:tab w:val="center" w:pos="4153"/>
                <w:tab w:val="right" w:pos="8306"/>
              </w:tabs>
              <w:snapToGrid w:val="0"/>
              <w:spacing w:line="260" w:lineRule="exact"/>
              <w:jc w:val="center"/>
              <w:rPr>
                <w:rFonts w:ascii="方正黑体简体" w:eastAsia="方正黑体简体"/>
                <w:sz w:val="18"/>
              </w:rPr>
            </w:pPr>
            <w:r>
              <w:rPr>
                <w:rFonts w:hint="eastAsia" w:ascii="宋体" w:hAnsi="宋体"/>
              </w:rPr>
              <w:t>施</w:t>
            </w: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果壳箱不满溢</w:t>
            </w:r>
          </w:p>
        </w:tc>
        <w:tc>
          <w:tcPr>
            <w:tcW w:w="1134" w:type="dxa"/>
            <w:vMerge w:val="continue"/>
            <w:vAlign w:val="center"/>
          </w:tcPr>
          <w:p>
            <w:pPr>
              <w:tabs>
                <w:tab w:val="center" w:pos="4153"/>
                <w:tab w:val="right" w:pos="8306"/>
              </w:tabs>
              <w:snapToGrid w:val="0"/>
              <w:spacing w:line="260" w:lineRule="exact"/>
              <w:jc w:val="center"/>
              <w:rPr>
                <w:rFonts w:ascii="宋体" w:hAnsi="宋体"/>
                <w:sz w:val="18"/>
              </w:rPr>
            </w:pPr>
          </w:p>
        </w:tc>
        <w:tc>
          <w:tcPr>
            <w:tcW w:w="1559" w:type="dxa"/>
            <w:vMerge w:val="continue"/>
            <w:vAlign w:val="center"/>
          </w:tcPr>
          <w:p>
            <w:pPr>
              <w:tabs>
                <w:tab w:val="center" w:pos="4153"/>
                <w:tab w:val="right" w:pos="8306"/>
              </w:tabs>
              <w:snapToGrid w:val="0"/>
              <w:spacing w:line="260" w:lineRule="exact"/>
              <w:jc w:val="center"/>
              <w:rPr>
                <w:rFonts w:ascii="宋体" w:hAnsi="宋体"/>
                <w:sz w:val="18"/>
              </w:rPr>
            </w:pPr>
          </w:p>
        </w:tc>
        <w:tc>
          <w:tcPr>
            <w:tcW w:w="1276" w:type="dxa"/>
            <w:vMerge w:val="continue"/>
            <w:vAlign w:val="center"/>
          </w:tcPr>
          <w:p>
            <w:pPr>
              <w:tabs>
                <w:tab w:val="center" w:pos="4153"/>
                <w:tab w:val="right" w:pos="8306"/>
              </w:tabs>
              <w:snapToGrid w:val="0"/>
              <w:spacing w:line="260" w:lineRule="exact"/>
              <w:jc w:val="center"/>
              <w:rPr>
                <w:rFonts w:ascii="宋体" w:hAnsi="宋体"/>
                <w:sz w:val="18"/>
              </w:rPr>
            </w:pPr>
          </w:p>
        </w:tc>
        <w:tc>
          <w:tcPr>
            <w:tcW w:w="1418" w:type="dxa"/>
            <w:vMerge w:val="continue"/>
            <w:vAlign w:val="center"/>
          </w:tcPr>
          <w:p>
            <w:pPr>
              <w:tabs>
                <w:tab w:val="center" w:pos="4153"/>
                <w:tab w:val="right" w:pos="8306"/>
              </w:tabs>
              <w:snapToGrid w:val="0"/>
              <w:spacing w:line="260" w:lineRule="exact"/>
              <w:jc w:val="center"/>
              <w:rPr>
                <w:rFonts w:ascii="宋体" w:hAnsi="宋体"/>
                <w:sz w:val="18"/>
              </w:rPr>
            </w:pPr>
          </w:p>
        </w:tc>
        <w:tc>
          <w:tcPr>
            <w:tcW w:w="1166" w:type="dxa"/>
            <w:vMerge w:val="continue"/>
            <w:vAlign w:val="center"/>
          </w:tcPr>
          <w:p>
            <w:pPr>
              <w:tabs>
                <w:tab w:val="center" w:pos="4153"/>
                <w:tab w:val="right" w:pos="8306"/>
              </w:tabs>
              <w:snapToGrid w:val="0"/>
              <w:spacing w:line="26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sz w:val="18"/>
              </w:rPr>
            </w:pPr>
          </w:p>
        </w:tc>
        <w:tc>
          <w:tcPr>
            <w:tcW w:w="1134" w:type="dxa"/>
            <w:vMerge w:val="continue"/>
            <w:vAlign w:val="center"/>
          </w:tcPr>
          <w:p>
            <w:pPr>
              <w:tabs>
                <w:tab w:val="center" w:pos="4153"/>
                <w:tab w:val="right" w:pos="8306"/>
              </w:tabs>
              <w:snapToGrid w:val="0"/>
              <w:spacing w:line="260" w:lineRule="exact"/>
              <w:jc w:val="center"/>
              <w:rPr>
                <w:rFonts w:ascii="宋体" w:hAnsi="宋体"/>
                <w:sz w:val="18"/>
              </w:rPr>
            </w:pPr>
          </w:p>
        </w:tc>
        <w:tc>
          <w:tcPr>
            <w:tcW w:w="851" w:type="dxa"/>
            <w:vMerge w:val="continue"/>
            <w:vAlign w:val="center"/>
          </w:tcPr>
          <w:p>
            <w:pPr>
              <w:tabs>
                <w:tab w:val="center" w:pos="4153"/>
                <w:tab w:val="right" w:pos="8306"/>
              </w:tabs>
              <w:snapToGrid w:val="0"/>
              <w:spacing w:line="260" w:lineRule="exact"/>
              <w:jc w:val="center"/>
              <w:rPr>
                <w:rFonts w:ascii="宋体" w:hAnsi="宋体"/>
                <w:sz w:val="18"/>
              </w:rPr>
            </w:pPr>
          </w:p>
        </w:tc>
        <w:tc>
          <w:tcPr>
            <w:tcW w:w="1134" w:type="dxa"/>
            <w:vMerge w:val="continue"/>
            <w:vAlign w:val="center"/>
          </w:tcPr>
          <w:p>
            <w:pPr>
              <w:tabs>
                <w:tab w:val="center" w:pos="4153"/>
                <w:tab w:val="right" w:pos="8306"/>
              </w:tabs>
              <w:snapToGrid w:val="0"/>
              <w:spacing w:line="260" w:lineRule="exact"/>
              <w:jc w:val="center"/>
              <w:rPr>
                <w:rFonts w:ascii="方正黑体简体" w:eastAsia="方正黑体简体"/>
                <w:sz w:val="18"/>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果壳箱日常清洗</w:t>
            </w:r>
          </w:p>
        </w:tc>
        <w:tc>
          <w:tcPr>
            <w:tcW w:w="1134" w:type="dxa"/>
            <w:vMerge w:val="continue"/>
            <w:vAlign w:val="center"/>
          </w:tcPr>
          <w:p>
            <w:pPr>
              <w:tabs>
                <w:tab w:val="center" w:pos="4153"/>
                <w:tab w:val="right" w:pos="8306"/>
              </w:tabs>
              <w:snapToGrid w:val="0"/>
              <w:spacing w:line="260" w:lineRule="exact"/>
              <w:jc w:val="center"/>
              <w:rPr>
                <w:rFonts w:ascii="宋体" w:hAnsi="宋体"/>
                <w:sz w:val="18"/>
              </w:rPr>
            </w:pPr>
          </w:p>
        </w:tc>
        <w:tc>
          <w:tcPr>
            <w:tcW w:w="1559" w:type="dxa"/>
            <w:vMerge w:val="continue"/>
            <w:vAlign w:val="center"/>
          </w:tcPr>
          <w:p>
            <w:pPr>
              <w:tabs>
                <w:tab w:val="center" w:pos="4153"/>
                <w:tab w:val="right" w:pos="8306"/>
              </w:tabs>
              <w:snapToGrid w:val="0"/>
              <w:spacing w:line="260" w:lineRule="exact"/>
              <w:jc w:val="center"/>
              <w:rPr>
                <w:rFonts w:ascii="宋体" w:hAnsi="宋体"/>
                <w:sz w:val="18"/>
              </w:rPr>
            </w:pPr>
          </w:p>
        </w:tc>
        <w:tc>
          <w:tcPr>
            <w:tcW w:w="1276" w:type="dxa"/>
            <w:vMerge w:val="continue"/>
            <w:vAlign w:val="center"/>
          </w:tcPr>
          <w:p>
            <w:pPr>
              <w:tabs>
                <w:tab w:val="center" w:pos="4153"/>
                <w:tab w:val="right" w:pos="8306"/>
              </w:tabs>
              <w:snapToGrid w:val="0"/>
              <w:spacing w:line="260" w:lineRule="exact"/>
              <w:jc w:val="center"/>
              <w:rPr>
                <w:rFonts w:ascii="宋体" w:hAnsi="宋体"/>
                <w:sz w:val="18"/>
              </w:rPr>
            </w:pPr>
          </w:p>
        </w:tc>
        <w:tc>
          <w:tcPr>
            <w:tcW w:w="1418" w:type="dxa"/>
            <w:vMerge w:val="continue"/>
            <w:vAlign w:val="center"/>
          </w:tcPr>
          <w:p>
            <w:pPr>
              <w:tabs>
                <w:tab w:val="center" w:pos="4153"/>
                <w:tab w:val="right" w:pos="8306"/>
              </w:tabs>
              <w:snapToGrid w:val="0"/>
              <w:spacing w:line="260" w:lineRule="exact"/>
              <w:jc w:val="center"/>
              <w:rPr>
                <w:rFonts w:ascii="宋体" w:hAnsi="宋体"/>
                <w:sz w:val="18"/>
              </w:rPr>
            </w:pPr>
          </w:p>
        </w:tc>
        <w:tc>
          <w:tcPr>
            <w:tcW w:w="1166" w:type="dxa"/>
            <w:vMerge w:val="continue"/>
            <w:vAlign w:val="center"/>
          </w:tcPr>
          <w:p>
            <w:pPr>
              <w:tabs>
                <w:tab w:val="center" w:pos="4153"/>
                <w:tab w:val="right" w:pos="8306"/>
              </w:tabs>
              <w:snapToGrid w:val="0"/>
              <w:spacing w:line="26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sz w:val="18"/>
              </w:rPr>
            </w:pPr>
          </w:p>
        </w:tc>
        <w:tc>
          <w:tcPr>
            <w:tcW w:w="1134" w:type="dxa"/>
            <w:vMerge w:val="continue"/>
            <w:vAlign w:val="center"/>
          </w:tcPr>
          <w:p>
            <w:pPr>
              <w:tabs>
                <w:tab w:val="center" w:pos="4153"/>
                <w:tab w:val="right" w:pos="8306"/>
              </w:tabs>
              <w:snapToGrid w:val="0"/>
              <w:spacing w:line="260" w:lineRule="exact"/>
              <w:jc w:val="center"/>
              <w:rPr>
                <w:rFonts w:ascii="宋体" w:hAnsi="宋体"/>
                <w:sz w:val="18"/>
              </w:rPr>
            </w:pPr>
          </w:p>
        </w:tc>
        <w:tc>
          <w:tcPr>
            <w:tcW w:w="851" w:type="dxa"/>
            <w:vMerge w:val="continue"/>
            <w:vAlign w:val="center"/>
          </w:tcPr>
          <w:p>
            <w:pPr>
              <w:tabs>
                <w:tab w:val="center" w:pos="4153"/>
                <w:tab w:val="right" w:pos="8306"/>
              </w:tabs>
              <w:snapToGrid w:val="0"/>
              <w:spacing w:line="260" w:lineRule="exact"/>
              <w:jc w:val="center"/>
              <w:rPr>
                <w:rFonts w:ascii="宋体" w:hAnsi="宋体"/>
                <w:sz w:val="18"/>
              </w:rPr>
            </w:pPr>
          </w:p>
        </w:tc>
        <w:tc>
          <w:tcPr>
            <w:tcW w:w="1134" w:type="dxa"/>
            <w:vMerge w:val="continue"/>
            <w:vAlign w:val="center"/>
          </w:tcPr>
          <w:p>
            <w:pPr>
              <w:tabs>
                <w:tab w:val="center" w:pos="4153"/>
                <w:tab w:val="right" w:pos="8306"/>
              </w:tabs>
              <w:snapToGrid w:val="0"/>
              <w:spacing w:line="260" w:lineRule="exact"/>
              <w:jc w:val="center"/>
              <w:rPr>
                <w:rFonts w:ascii="方正黑体简体" w:eastAsia="方正黑体简体"/>
                <w:sz w:val="18"/>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果壳箱深度清洗</w:t>
            </w:r>
          </w:p>
        </w:tc>
        <w:tc>
          <w:tcPr>
            <w:tcW w:w="1134" w:type="dxa"/>
            <w:vMerge w:val="continue"/>
            <w:vAlign w:val="center"/>
          </w:tcPr>
          <w:p>
            <w:pPr>
              <w:tabs>
                <w:tab w:val="center" w:pos="4153"/>
                <w:tab w:val="right" w:pos="8306"/>
              </w:tabs>
              <w:snapToGrid w:val="0"/>
              <w:spacing w:line="260" w:lineRule="exact"/>
              <w:jc w:val="center"/>
              <w:rPr>
                <w:rFonts w:ascii="宋体" w:hAnsi="宋体"/>
                <w:sz w:val="18"/>
              </w:rPr>
            </w:pPr>
          </w:p>
        </w:tc>
        <w:tc>
          <w:tcPr>
            <w:tcW w:w="1559" w:type="dxa"/>
            <w:vMerge w:val="continue"/>
            <w:vAlign w:val="center"/>
          </w:tcPr>
          <w:p>
            <w:pPr>
              <w:tabs>
                <w:tab w:val="center" w:pos="4153"/>
                <w:tab w:val="right" w:pos="8306"/>
              </w:tabs>
              <w:snapToGrid w:val="0"/>
              <w:spacing w:line="260" w:lineRule="exact"/>
              <w:jc w:val="center"/>
              <w:rPr>
                <w:rFonts w:ascii="宋体" w:hAnsi="宋体"/>
                <w:sz w:val="18"/>
              </w:rPr>
            </w:pPr>
          </w:p>
        </w:tc>
        <w:tc>
          <w:tcPr>
            <w:tcW w:w="1276" w:type="dxa"/>
            <w:vMerge w:val="continue"/>
            <w:vAlign w:val="center"/>
          </w:tcPr>
          <w:p>
            <w:pPr>
              <w:tabs>
                <w:tab w:val="center" w:pos="4153"/>
                <w:tab w:val="right" w:pos="8306"/>
              </w:tabs>
              <w:snapToGrid w:val="0"/>
              <w:spacing w:line="260" w:lineRule="exact"/>
              <w:jc w:val="center"/>
              <w:rPr>
                <w:rFonts w:ascii="宋体" w:hAnsi="宋体"/>
                <w:sz w:val="18"/>
              </w:rPr>
            </w:pPr>
          </w:p>
        </w:tc>
        <w:tc>
          <w:tcPr>
            <w:tcW w:w="1418" w:type="dxa"/>
            <w:vMerge w:val="continue"/>
            <w:vAlign w:val="center"/>
          </w:tcPr>
          <w:p>
            <w:pPr>
              <w:tabs>
                <w:tab w:val="center" w:pos="4153"/>
                <w:tab w:val="right" w:pos="8306"/>
              </w:tabs>
              <w:snapToGrid w:val="0"/>
              <w:spacing w:line="260" w:lineRule="exact"/>
              <w:jc w:val="center"/>
              <w:rPr>
                <w:rFonts w:ascii="宋体" w:hAnsi="宋体"/>
                <w:sz w:val="18"/>
              </w:rPr>
            </w:pPr>
          </w:p>
        </w:tc>
        <w:tc>
          <w:tcPr>
            <w:tcW w:w="1166" w:type="dxa"/>
            <w:vMerge w:val="continue"/>
            <w:vAlign w:val="center"/>
          </w:tcPr>
          <w:p>
            <w:pPr>
              <w:tabs>
                <w:tab w:val="center" w:pos="4153"/>
                <w:tab w:val="right" w:pos="8306"/>
              </w:tabs>
              <w:snapToGrid w:val="0"/>
              <w:spacing w:line="26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tabs>
                <w:tab w:val="center" w:pos="4153"/>
                <w:tab w:val="right" w:pos="8306"/>
              </w:tabs>
              <w:snapToGrid w:val="0"/>
              <w:spacing w:line="260" w:lineRule="exact"/>
              <w:jc w:val="center"/>
              <w:rPr>
                <w:rFonts w:ascii="宋体" w:hAnsi="宋体"/>
                <w:sz w:val="18"/>
              </w:rPr>
            </w:pPr>
          </w:p>
        </w:tc>
        <w:tc>
          <w:tcPr>
            <w:tcW w:w="1134" w:type="dxa"/>
            <w:vMerge w:val="continue"/>
            <w:vAlign w:val="center"/>
          </w:tcPr>
          <w:p>
            <w:pPr>
              <w:tabs>
                <w:tab w:val="center" w:pos="4153"/>
                <w:tab w:val="right" w:pos="8306"/>
              </w:tabs>
              <w:snapToGrid w:val="0"/>
              <w:spacing w:line="260" w:lineRule="exact"/>
              <w:jc w:val="center"/>
              <w:rPr>
                <w:rFonts w:ascii="宋体" w:hAnsi="宋体"/>
                <w:sz w:val="18"/>
              </w:rPr>
            </w:pPr>
          </w:p>
        </w:tc>
        <w:tc>
          <w:tcPr>
            <w:tcW w:w="851" w:type="dxa"/>
            <w:vMerge w:val="continue"/>
            <w:vAlign w:val="center"/>
          </w:tcPr>
          <w:p>
            <w:pPr>
              <w:tabs>
                <w:tab w:val="center" w:pos="4153"/>
                <w:tab w:val="right" w:pos="8306"/>
              </w:tabs>
              <w:snapToGrid w:val="0"/>
              <w:spacing w:line="260" w:lineRule="exact"/>
              <w:jc w:val="center"/>
              <w:rPr>
                <w:rFonts w:ascii="宋体" w:hAnsi="宋体"/>
                <w:sz w:val="18"/>
              </w:rPr>
            </w:pPr>
          </w:p>
        </w:tc>
        <w:tc>
          <w:tcPr>
            <w:tcW w:w="1134" w:type="dxa"/>
            <w:vMerge w:val="continue"/>
            <w:vAlign w:val="center"/>
          </w:tcPr>
          <w:p>
            <w:pPr>
              <w:tabs>
                <w:tab w:val="center" w:pos="4153"/>
                <w:tab w:val="right" w:pos="8306"/>
              </w:tabs>
              <w:snapToGrid w:val="0"/>
              <w:spacing w:line="260" w:lineRule="exact"/>
              <w:jc w:val="center"/>
              <w:rPr>
                <w:rFonts w:ascii="方正黑体简体" w:eastAsia="方正黑体简体"/>
                <w:sz w:val="18"/>
              </w:rPr>
            </w:pPr>
          </w:p>
        </w:tc>
        <w:tc>
          <w:tcPr>
            <w:tcW w:w="3827" w:type="dxa"/>
            <w:vAlign w:val="center"/>
          </w:tcPr>
          <w:p>
            <w:pPr>
              <w:tabs>
                <w:tab w:val="center" w:pos="4153"/>
                <w:tab w:val="right" w:pos="8306"/>
              </w:tabs>
              <w:snapToGrid w:val="0"/>
              <w:spacing w:line="260" w:lineRule="exact"/>
              <w:jc w:val="left"/>
              <w:rPr>
                <w:rFonts w:ascii="宋体" w:hAnsi="宋体"/>
                <w:sz w:val="18"/>
              </w:rPr>
            </w:pPr>
            <w:r>
              <w:rPr>
                <w:rFonts w:hint="eastAsia" w:ascii="宋体" w:hAnsi="宋体"/>
                <w:sz w:val="18"/>
              </w:rPr>
              <w:t>果壳箱周边地面清洗</w:t>
            </w:r>
          </w:p>
        </w:tc>
        <w:tc>
          <w:tcPr>
            <w:tcW w:w="1134" w:type="dxa"/>
            <w:vMerge w:val="continue"/>
            <w:vAlign w:val="center"/>
          </w:tcPr>
          <w:p>
            <w:pPr>
              <w:tabs>
                <w:tab w:val="center" w:pos="4153"/>
                <w:tab w:val="right" w:pos="8306"/>
              </w:tabs>
              <w:snapToGrid w:val="0"/>
              <w:spacing w:line="260" w:lineRule="exact"/>
              <w:jc w:val="center"/>
              <w:rPr>
                <w:rFonts w:ascii="宋体" w:hAnsi="宋体"/>
                <w:sz w:val="18"/>
              </w:rPr>
            </w:pPr>
          </w:p>
        </w:tc>
        <w:tc>
          <w:tcPr>
            <w:tcW w:w="1559" w:type="dxa"/>
            <w:vMerge w:val="continue"/>
            <w:vAlign w:val="center"/>
          </w:tcPr>
          <w:p>
            <w:pPr>
              <w:tabs>
                <w:tab w:val="center" w:pos="4153"/>
                <w:tab w:val="right" w:pos="8306"/>
              </w:tabs>
              <w:snapToGrid w:val="0"/>
              <w:spacing w:line="260" w:lineRule="exact"/>
              <w:jc w:val="center"/>
              <w:rPr>
                <w:rFonts w:ascii="宋体" w:hAnsi="宋体"/>
                <w:sz w:val="18"/>
              </w:rPr>
            </w:pPr>
          </w:p>
        </w:tc>
        <w:tc>
          <w:tcPr>
            <w:tcW w:w="1276" w:type="dxa"/>
            <w:vMerge w:val="continue"/>
            <w:vAlign w:val="center"/>
          </w:tcPr>
          <w:p>
            <w:pPr>
              <w:tabs>
                <w:tab w:val="center" w:pos="4153"/>
                <w:tab w:val="right" w:pos="8306"/>
              </w:tabs>
              <w:snapToGrid w:val="0"/>
              <w:spacing w:line="260" w:lineRule="exact"/>
              <w:jc w:val="center"/>
              <w:rPr>
                <w:rFonts w:ascii="宋体" w:hAnsi="宋体"/>
                <w:sz w:val="18"/>
              </w:rPr>
            </w:pPr>
          </w:p>
        </w:tc>
        <w:tc>
          <w:tcPr>
            <w:tcW w:w="1418" w:type="dxa"/>
            <w:vMerge w:val="continue"/>
            <w:vAlign w:val="center"/>
          </w:tcPr>
          <w:p>
            <w:pPr>
              <w:tabs>
                <w:tab w:val="center" w:pos="4153"/>
                <w:tab w:val="right" w:pos="8306"/>
              </w:tabs>
              <w:snapToGrid w:val="0"/>
              <w:spacing w:line="260" w:lineRule="exact"/>
              <w:jc w:val="center"/>
              <w:rPr>
                <w:rFonts w:ascii="宋体" w:hAnsi="宋体"/>
                <w:sz w:val="18"/>
              </w:rPr>
            </w:pPr>
          </w:p>
        </w:tc>
        <w:tc>
          <w:tcPr>
            <w:tcW w:w="1166" w:type="dxa"/>
            <w:vMerge w:val="continue"/>
            <w:vAlign w:val="center"/>
          </w:tcPr>
          <w:p>
            <w:pPr>
              <w:tabs>
                <w:tab w:val="center" w:pos="4153"/>
                <w:tab w:val="right" w:pos="8306"/>
              </w:tabs>
              <w:snapToGrid w:val="0"/>
              <w:spacing w:line="260" w:lineRule="exact"/>
              <w:jc w:val="center"/>
              <w:rPr>
                <w:rFonts w:ascii="宋体" w:hAnsi="宋体"/>
                <w:sz w:val="18"/>
              </w:rPr>
            </w:pPr>
          </w:p>
        </w:tc>
      </w:tr>
    </w:tbl>
    <w:p>
      <w:pPr>
        <w:autoSpaceDE w:val="0"/>
        <w:spacing w:line="560" w:lineRule="exact"/>
        <w:ind w:firstLine="640" w:firstLineChars="200"/>
        <w:rPr>
          <w:rFonts w:ascii="仿宋_GB2312" w:hAnsi="仿宋" w:eastAsia="仿宋_GB2312"/>
          <w:bCs/>
          <w:sz w:val="32"/>
          <w:szCs w:val="32"/>
        </w:rPr>
        <w:sectPr>
          <w:pgSz w:w="16838" w:h="11906" w:orient="landscape"/>
          <w:pgMar w:top="1797" w:right="1440" w:bottom="1797" w:left="1440" w:header="851" w:footer="992" w:gutter="0"/>
          <w:cols w:space="720" w:num="1"/>
          <w:docGrid w:type="linesAndChars" w:linePitch="312" w:charSpace="0"/>
        </w:sectPr>
      </w:pPr>
    </w:p>
    <w:p>
      <w:pPr>
        <w:widowControl/>
        <w:spacing w:line="580" w:lineRule="exact"/>
        <w:jc w:val="left"/>
        <w:rPr>
          <w:rFonts w:hint="eastAsia" w:ascii="黑体" w:hAnsi="黑体" w:eastAsia="黑体"/>
          <w:sz w:val="32"/>
          <w:szCs w:val="32"/>
        </w:rPr>
      </w:pPr>
      <w:r>
        <w:rPr>
          <w:rFonts w:hint="eastAsia" w:ascii="黑体" w:hAnsi="黑体" w:eastAsia="黑体"/>
          <w:sz w:val="32"/>
          <w:szCs w:val="32"/>
        </w:rPr>
        <w:t>附件4</w:t>
      </w:r>
    </w:p>
    <w:p>
      <w:pPr>
        <w:widowControl/>
        <w:spacing w:line="580" w:lineRule="exact"/>
        <w:jc w:val="left"/>
        <w:rPr>
          <w:rFonts w:ascii="黑体" w:hAnsi="黑体" w:eastAsia="黑体"/>
          <w:sz w:val="32"/>
          <w:szCs w:val="32"/>
        </w:rPr>
      </w:pPr>
    </w:p>
    <w:p>
      <w:pPr>
        <w:widowControl/>
        <w:spacing w:line="56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44"/>
          <w:szCs w:val="32"/>
        </w:rPr>
        <w:t xml:space="preserve"> </w:t>
      </w:r>
      <w:r>
        <w:rPr>
          <w:rFonts w:hint="eastAsia" w:ascii="方正小标宋简体" w:hAnsi="方正小标宋简体" w:eastAsia="方正小标宋简体" w:cs="方正小标宋简体"/>
          <w:bCs/>
          <w:sz w:val="32"/>
          <w:szCs w:val="32"/>
        </w:rPr>
        <w:t>岱山县2022年环境卫生责任区制度</w:t>
      </w:r>
    </w:p>
    <w:p>
      <w:pPr>
        <w:widowControl/>
        <w:spacing w:line="56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（门前四包）示范街创建行动实施方案</w:t>
      </w:r>
    </w:p>
    <w:p>
      <w:pPr>
        <w:spacing w:line="60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为加快推进全国县级文明城市创建</w:t>
      </w:r>
      <w:r>
        <w:rPr>
          <w:rFonts w:eastAsia="仿宋_GB2312"/>
          <w:sz w:val="32"/>
          <w:szCs w:val="32"/>
        </w:rPr>
        <w:t>，</w:t>
      </w:r>
      <w:r>
        <w:rPr>
          <w:rFonts w:hint="eastAsia" w:eastAsia="仿宋_GB2312"/>
          <w:sz w:val="32"/>
          <w:szCs w:val="32"/>
        </w:rPr>
        <w:t>积极</w:t>
      </w:r>
      <w:r>
        <w:rPr>
          <w:rFonts w:eastAsia="仿宋_GB2312"/>
          <w:sz w:val="32"/>
          <w:szCs w:val="32"/>
        </w:rPr>
        <w:t>推进</w:t>
      </w:r>
      <w:r>
        <w:rPr>
          <w:rFonts w:hint="eastAsia" w:eastAsia="仿宋_GB2312"/>
          <w:sz w:val="32"/>
          <w:szCs w:val="32"/>
        </w:rPr>
        <w:t>“重要窗口”海岛风景线建设</w:t>
      </w:r>
      <w:r>
        <w:rPr>
          <w:rFonts w:eastAsia="仿宋_GB2312"/>
          <w:sz w:val="32"/>
          <w:szCs w:val="32"/>
        </w:rPr>
        <w:t>，努力打造“洁化、序化、绿化、美化、亮化”的城市环境</w:t>
      </w:r>
      <w:r>
        <w:rPr>
          <w:rFonts w:hint="eastAsia" w:eastAsia="仿宋_GB2312"/>
          <w:sz w:val="32"/>
          <w:szCs w:val="32"/>
        </w:rPr>
        <w:t>，</w:t>
      </w:r>
      <w:r>
        <w:rPr>
          <w:rFonts w:eastAsia="仿宋_GB2312"/>
          <w:sz w:val="32"/>
          <w:szCs w:val="32"/>
        </w:rPr>
        <w:t>根据县委、县政府关于全县城乡环境综合整治大会战工作部署和《</w:t>
      </w:r>
      <w:r>
        <w:rPr>
          <w:rFonts w:hint="eastAsia" w:eastAsia="仿宋_GB2312"/>
          <w:sz w:val="32"/>
          <w:szCs w:val="32"/>
        </w:rPr>
        <w:t>岱山县2022年城乡环境综合整治提升行动实施方案</w:t>
      </w:r>
      <w:r>
        <w:rPr>
          <w:rFonts w:eastAsia="仿宋_GB2312"/>
          <w:sz w:val="32"/>
          <w:szCs w:val="32"/>
        </w:rPr>
        <w:t>》工作要求，</w:t>
      </w:r>
      <w:r>
        <w:rPr>
          <w:rFonts w:hint="eastAsia" w:eastAsia="仿宋_GB2312"/>
          <w:sz w:val="32"/>
          <w:szCs w:val="32"/>
        </w:rPr>
        <w:t>决定</w:t>
      </w:r>
      <w:r>
        <w:rPr>
          <w:rFonts w:eastAsia="仿宋_GB2312"/>
          <w:sz w:val="32"/>
          <w:szCs w:val="32"/>
        </w:rPr>
        <w:t>开展</w:t>
      </w:r>
      <w:r>
        <w:rPr>
          <w:rFonts w:hint="eastAsia" w:eastAsia="仿宋_GB2312"/>
          <w:sz w:val="32"/>
          <w:szCs w:val="32"/>
        </w:rPr>
        <w:t>环境卫生责任区制度（门前四包）示范街创建行动，</w:t>
      </w:r>
      <w:r>
        <w:rPr>
          <w:rFonts w:eastAsia="仿宋_GB2312"/>
          <w:sz w:val="32"/>
          <w:szCs w:val="32"/>
        </w:rPr>
        <w:t>特制定本实施方案。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创建目标</w:t>
      </w:r>
    </w:p>
    <w:p>
      <w:pPr>
        <w:spacing w:line="560" w:lineRule="exact"/>
        <w:ind w:firstLine="640" w:firstLineChars="200"/>
        <w:rPr>
          <w:rFonts w:eastAsia="仿宋_GB2312"/>
          <w:sz w:val="32"/>
          <w:szCs w:val="32"/>
        </w:rPr>
      </w:pPr>
      <w:r>
        <w:rPr>
          <w:rFonts w:hint="eastAsia" w:eastAsia="仿宋_GB2312"/>
          <w:sz w:val="32"/>
          <w:szCs w:val="32"/>
        </w:rPr>
        <w:t>根据《城市市容和环境卫生管理条例》和</w:t>
      </w:r>
      <w:r>
        <w:rPr>
          <w:rFonts w:eastAsia="仿宋_GB2312"/>
          <w:sz w:val="32"/>
          <w:szCs w:val="32"/>
        </w:rPr>
        <w:t>《</w:t>
      </w:r>
      <w:r>
        <w:rPr>
          <w:rFonts w:hint="eastAsia" w:eastAsia="仿宋_GB2312"/>
          <w:sz w:val="32"/>
          <w:szCs w:val="32"/>
        </w:rPr>
        <w:t>浙江省城市市容和环境卫生管理条例</w:t>
      </w:r>
      <w:r>
        <w:rPr>
          <w:rFonts w:eastAsia="仿宋_GB2312"/>
          <w:sz w:val="32"/>
          <w:szCs w:val="32"/>
        </w:rPr>
        <w:t>》</w:t>
      </w:r>
      <w:r>
        <w:rPr>
          <w:rFonts w:hint="eastAsia" w:eastAsia="仿宋_GB2312"/>
          <w:sz w:val="32"/>
          <w:szCs w:val="32"/>
        </w:rPr>
        <w:t>的相关</w:t>
      </w:r>
      <w:r>
        <w:rPr>
          <w:rFonts w:eastAsia="仿宋_GB2312"/>
          <w:sz w:val="32"/>
          <w:szCs w:val="32"/>
        </w:rPr>
        <w:t>规定，</w:t>
      </w:r>
      <w:r>
        <w:rPr>
          <w:rFonts w:hint="eastAsia" w:eastAsia="仿宋_GB2312"/>
          <w:sz w:val="32"/>
          <w:szCs w:val="32"/>
        </w:rPr>
        <w:t>对实施</w:t>
      </w:r>
      <w:r>
        <w:rPr>
          <w:rFonts w:eastAsia="仿宋_GB2312"/>
          <w:sz w:val="32"/>
          <w:szCs w:val="32"/>
        </w:rPr>
        <w:t>环境卫生责任区制度</w:t>
      </w:r>
      <w:r>
        <w:rPr>
          <w:rFonts w:hint="eastAsia" w:eastAsia="仿宋_GB2312"/>
          <w:sz w:val="32"/>
          <w:szCs w:val="32"/>
        </w:rPr>
        <w:t>的路段</w:t>
      </w:r>
      <w:r>
        <w:rPr>
          <w:rFonts w:eastAsia="仿宋_GB2312"/>
          <w:sz w:val="32"/>
          <w:szCs w:val="32"/>
        </w:rPr>
        <w:t>开展</w:t>
      </w:r>
      <w:r>
        <w:rPr>
          <w:rFonts w:hint="eastAsia" w:eastAsia="仿宋_GB2312"/>
          <w:sz w:val="32"/>
          <w:szCs w:val="32"/>
        </w:rPr>
        <w:t>示范</w:t>
      </w:r>
      <w:r>
        <w:rPr>
          <w:rFonts w:eastAsia="仿宋_GB2312"/>
          <w:sz w:val="32"/>
          <w:szCs w:val="32"/>
        </w:rPr>
        <w:t>创建工作。</w:t>
      </w:r>
      <w:r>
        <w:rPr>
          <w:rFonts w:hint="eastAsia" w:eastAsia="仿宋_GB2312"/>
          <w:sz w:val="32"/>
          <w:szCs w:val="32"/>
        </w:rPr>
        <w:t>力争通过示范</w:t>
      </w:r>
      <w:r>
        <w:rPr>
          <w:rFonts w:eastAsia="仿宋_GB2312"/>
          <w:sz w:val="32"/>
          <w:szCs w:val="32"/>
        </w:rPr>
        <w:t>创建，</w:t>
      </w:r>
      <w:r>
        <w:rPr>
          <w:rFonts w:hint="eastAsia" w:eastAsia="仿宋_GB2312"/>
          <w:sz w:val="32"/>
          <w:szCs w:val="32"/>
        </w:rPr>
        <w:t>实现环境</w:t>
      </w:r>
      <w:r>
        <w:rPr>
          <w:rFonts w:eastAsia="仿宋_GB2312"/>
          <w:sz w:val="32"/>
          <w:szCs w:val="32"/>
        </w:rPr>
        <w:t>卫生责任区范围内相关路段</w:t>
      </w:r>
      <w:r>
        <w:rPr>
          <w:rFonts w:hint="eastAsia" w:eastAsia="仿宋_GB2312"/>
          <w:sz w:val="32"/>
          <w:szCs w:val="32"/>
        </w:rPr>
        <w:t>干净、整洁、美观，垃圾</w:t>
      </w:r>
      <w:r>
        <w:rPr>
          <w:rFonts w:eastAsia="仿宋_GB2312"/>
          <w:sz w:val="32"/>
          <w:szCs w:val="32"/>
        </w:rPr>
        <w:t>分类投放，建筑</w:t>
      </w:r>
      <w:r>
        <w:rPr>
          <w:rFonts w:hint="eastAsia" w:eastAsia="仿宋_GB2312"/>
          <w:sz w:val="32"/>
          <w:szCs w:val="32"/>
        </w:rPr>
        <w:t>立面</w:t>
      </w:r>
      <w:r>
        <w:rPr>
          <w:rFonts w:hint="eastAsia" w:ascii="仿宋_GB2312" w:hAnsi="仿宋_GB2312" w:eastAsia="仿宋_GB2312" w:cs="仿宋_GB2312"/>
          <w:sz w:val="32"/>
          <w:szCs w:val="32"/>
        </w:rPr>
        <w:t>完好</w:t>
      </w:r>
      <w:r>
        <w:rPr>
          <w:rFonts w:hint="eastAsia" w:eastAsia="仿宋_GB2312"/>
          <w:sz w:val="32"/>
          <w:szCs w:val="32"/>
        </w:rPr>
        <w:t>，</w:t>
      </w:r>
      <w:r>
        <w:rPr>
          <w:rFonts w:hint="eastAsia" w:ascii="仿宋_GB2312" w:hAnsi="仿宋_GB2312" w:eastAsia="仿宋_GB2312" w:cs="仿宋_GB2312"/>
          <w:sz w:val="32"/>
          <w:szCs w:val="32"/>
        </w:rPr>
        <w:t>无明显污迹，</w:t>
      </w:r>
      <w:r>
        <w:rPr>
          <w:rFonts w:hint="eastAsia" w:eastAsia="仿宋_GB2312"/>
          <w:sz w:val="32"/>
          <w:szCs w:val="32"/>
        </w:rPr>
        <w:t>无乱拉乱挂、乱张贴涂写刻画现象，经营合法规范，无</w:t>
      </w:r>
      <w:r>
        <w:rPr>
          <w:rFonts w:eastAsia="仿宋_GB2312"/>
          <w:sz w:val="32"/>
          <w:szCs w:val="32"/>
        </w:rPr>
        <w:t>跨门</w:t>
      </w:r>
      <w:r>
        <w:rPr>
          <w:rFonts w:hint="eastAsia" w:eastAsia="仿宋_GB2312"/>
          <w:sz w:val="32"/>
          <w:szCs w:val="32"/>
        </w:rPr>
        <w:t>、</w:t>
      </w:r>
      <w:r>
        <w:rPr>
          <w:rFonts w:eastAsia="仿宋_GB2312"/>
          <w:sz w:val="32"/>
          <w:szCs w:val="32"/>
        </w:rPr>
        <w:t>占道</w:t>
      </w:r>
      <w:r>
        <w:rPr>
          <w:rFonts w:hint="eastAsia" w:eastAsia="仿宋_GB2312"/>
          <w:sz w:val="32"/>
          <w:szCs w:val="32"/>
        </w:rPr>
        <w:t>情况</w:t>
      </w:r>
      <w:r>
        <w:rPr>
          <w:rFonts w:eastAsia="仿宋_GB2312"/>
          <w:sz w:val="32"/>
          <w:szCs w:val="32"/>
        </w:rPr>
        <w:t>，</w:t>
      </w:r>
      <w:r>
        <w:rPr>
          <w:rFonts w:hint="eastAsia" w:ascii="仿宋_GB2312" w:hAnsi="仿宋_GB2312" w:eastAsia="仿宋_GB2312" w:cs="仿宋_GB2312"/>
          <w:sz w:val="32"/>
          <w:szCs w:val="32"/>
        </w:rPr>
        <w:t>广告招牌准确规范，无污渍、破损、显示残缺，</w:t>
      </w:r>
      <w:r>
        <w:rPr>
          <w:rFonts w:hint="eastAsia" w:eastAsia="仿宋_GB2312"/>
          <w:sz w:val="32"/>
          <w:szCs w:val="32"/>
        </w:rPr>
        <w:t>车辆</w:t>
      </w:r>
      <w:r>
        <w:rPr>
          <w:rFonts w:eastAsia="仿宋_GB2312"/>
          <w:sz w:val="32"/>
          <w:szCs w:val="32"/>
        </w:rPr>
        <w:t>停放</w:t>
      </w:r>
      <w:r>
        <w:rPr>
          <w:rFonts w:hint="eastAsia" w:ascii="仿宋_GB2312" w:hAnsi="仿宋_GB2312" w:eastAsia="仿宋_GB2312" w:cs="仿宋_GB2312"/>
          <w:sz w:val="32"/>
          <w:szCs w:val="32"/>
        </w:rPr>
        <w:t>整齐有序</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私拉乱接问题，</w:t>
      </w:r>
      <w:r>
        <w:rPr>
          <w:rFonts w:hint="eastAsia" w:eastAsia="仿宋_GB2312"/>
          <w:sz w:val="32"/>
          <w:szCs w:val="32"/>
        </w:rPr>
        <w:t>绿化良好、无缺失、无污物、无乱搭乱堆。到12月底，建成1条环境卫生责任区制度（门前四包）示范街，全面展示我县城市建设和精细化管理水平。</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创建</w:t>
      </w:r>
      <w:r>
        <w:rPr>
          <w:rFonts w:ascii="黑体" w:hAnsi="黑体" w:eastAsia="黑体"/>
          <w:sz w:val="32"/>
          <w:szCs w:val="32"/>
        </w:rPr>
        <w:t>范围</w:t>
      </w:r>
    </w:p>
    <w:p>
      <w:pPr>
        <w:spacing w:line="560" w:lineRule="exact"/>
        <w:ind w:firstLine="640" w:firstLineChars="200"/>
        <w:rPr>
          <w:rFonts w:eastAsia="仿宋_GB2312"/>
          <w:sz w:val="32"/>
          <w:szCs w:val="32"/>
        </w:rPr>
      </w:pPr>
      <w:r>
        <w:rPr>
          <w:rFonts w:hint="eastAsia" w:eastAsia="仿宋_GB2312"/>
          <w:sz w:val="32"/>
          <w:szCs w:val="32"/>
        </w:rPr>
        <w:t>钓海路（</w:t>
      </w:r>
      <w:r>
        <w:rPr>
          <w:rFonts w:eastAsia="仿宋_GB2312"/>
          <w:sz w:val="32"/>
          <w:szCs w:val="32"/>
        </w:rPr>
        <w:t>衢山大道-兰秀大道</w:t>
      </w:r>
      <w:r>
        <w:rPr>
          <w:rFonts w:hint="eastAsia"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创建</w:t>
      </w:r>
      <w:r>
        <w:rPr>
          <w:rFonts w:ascii="黑体" w:hAnsi="黑体" w:eastAsia="黑体"/>
          <w:sz w:val="32"/>
          <w:szCs w:val="32"/>
        </w:rPr>
        <w:t>标准</w:t>
      </w:r>
    </w:p>
    <w:p>
      <w:pPr>
        <w:spacing w:line="560" w:lineRule="exact"/>
        <w:ind w:firstLine="640" w:firstLineChars="200"/>
        <w:rPr>
          <w:rFonts w:eastAsia="仿宋_GB2312"/>
          <w:sz w:val="32"/>
          <w:szCs w:val="32"/>
        </w:rPr>
      </w:pPr>
      <w:r>
        <w:rPr>
          <w:rFonts w:hint="eastAsia" w:eastAsia="仿宋_GB2312"/>
          <w:sz w:val="32"/>
          <w:szCs w:val="32"/>
        </w:rPr>
        <w:t>对照《舟山市</w:t>
      </w:r>
      <w:r>
        <w:rPr>
          <w:rFonts w:eastAsia="仿宋_GB2312"/>
          <w:sz w:val="32"/>
          <w:szCs w:val="32"/>
        </w:rPr>
        <w:t>环境卫生责任区责任告知书</w:t>
      </w:r>
      <w:r>
        <w:rPr>
          <w:rFonts w:hint="eastAsia" w:eastAsia="仿宋_GB2312"/>
          <w:sz w:val="32"/>
          <w:szCs w:val="32"/>
        </w:rPr>
        <w:t>》内容</w:t>
      </w:r>
      <w:r>
        <w:rPr>
          <w:rFonts w:eastAsia="仿宋_GB2312"/>
          <w:sz w:val="32"/>
          <w:szCs w:val="32"/>
        </w:rPr>
        <w:t>，对</w:t>
      </w:r>
      <w:r>
        <w:rPr>
          <w:rFonts w:hint="eastAsia" w:eastAsia="仿宋_GB2312"/>
          <w:sz w:val="32"/>
          <w:szCs w:val="32"/>
        </w:rPr>
        <w:t>推行</w:t>
      </w:r>
      <w:r>
        <w:rPr>
          <w:rFonts w:eastAsia="仿宋_GB2312"/>
          <w:sz w:val="32"/>
          <w:szCs w:val="32"/>
        </w:rPr>
        <w:t>环境卫生责任区制度的路段进行全方位</w:t>
      </w:r>
      <w:r>
        <w:rPr>
          <w:rFonts w:hint="eastAsia" w:eastAsia="仿宋_GB2312"/>
          <w:sz w:val="32"/>
          <w:szCs w:val="32"/>
        </w:rPr>
        <w:t>整治</w:t>
      </w:r>
      <w:r>
        <w:rPr>
          <w:rFonts w:eastAsia="仿宋_GB2312"/>
          <w:sz w:val="32"/>
          <w:szCs w:val="32"/>
        </w:rPr>
        <w:t>提升</w:t>
      </w:r>
      <w:r>
        <w:rPr>
          <w:rFonts w:hint="eastAsia" w:eastAsia="仿宋_GB2312"/>
          <w:sz w:val="32"/>
          <w:szCs w:val="32"/>
        </w:rPr>
        <w:t>，为全国县级文明城市创建工作奠定基础</w:t>
      </w:r>
      <w:r>
        <w:rPr>
          <w:rFonts w:eastAsia="仿宋_GB2312"/>
          <w:sz w:val="32"/>
          <w:szCs w:val="32"/>
        </w:rPr>
        <w:t>。</w:t>
      </w:r>
    </w:p>
    <w:p>
      <w:pPr>
        <w:spacing w:line="560" w:lineRule="exact"/>
        <w:ind w:firstLine="643" w:firstLineChars="200"/>
        <w:rPr>
          <w:rFonts w:eastAsia="仿宋_GB2312"/>
          <w:sz w:val="32"/>
          <w:szCs w:val="32"/>
        </w:rPr>
      </w:pPr>
      <w:r>
        <w:rPr>
          <w:rFonts w:hint="eastAsia" w:eastAsia="仿宋_GB2312"/>
          <w:b/>
          <w:sz w:val="32"/>
          <w:szCs w:val="32"/>
        </w:rPr>
        <w:t>（一）责任</w:t>
      </w:r>
      <w:r>
        <w:rPr>
          <w:rFonts w:eastAsia="仿宋_GB2312"/>
          <w:b/>
          <w:sz w:val="32"/>
          <w:szCs w:val="32"/>
        </w:rPr>
        <w:t>告知：</w:t>
      </w:r>
      <w:r>
        <w:rPr>
          <w:rFonts w:hint="eastAsia" w:eastAsia="仿宋_GB2312"/>
          <w:sz w:val="32"/>
          <w:szCs w:val="32"/>
        </w:rPr>
        <w:t>推行</w:t>
      </w:r>
      <w:r>
        <w:rPr>
          <w:rFonts w:eastAsia="仿宋_GB2312"/>
          <w:sz w:val="32"/>
          <w:szCs w:val="32"/>
        </w:rPr>
        <w:t>环境卫生责任区制度</w:t>
      </w:r>
      <w:r>
        <w:rPr>
          <w:rFonts w:hint="eastAsia" w:eastAsia="仿宋_GB2312"/>
          <w:sz w:val="32"/>
          <w:szCs w:val="32"/>
        </w:rPr>
        <w:t>的</w:t>
      </w:r>
      <w:r>
        <w:rPr>
          <w:rFonts w:eastAsia="仿宋_GB2312"/>
          <w:sz w:val="32"/>
          <w:szCs w:val="32"/>
        </w:rPr>
        <w:t>路段</w:t>
      </w:r>
      <w:r>
        <w:rPr>
          <w:rFonts w:hint="eastAsia" w:eastAsia="仿宋_GB2312"/>
          <w:sz w:val="32"/>
          <w:szCs w:val="32"/>
        </w:rPr>
        <w:t>，环境卫生责任区的具体范围和责任要求向责任人书面</w:t>
      </w:r>
      <w:r>
        <w:rPr>
          <w:rFonts w:eastAsia="仿宋_GB2312"/>
          <w:sz w:val="32"/>
          <w:szCs w:val="32"/>
        </w:rPr>
        <w:t>告知到位</w:t>
      </w:r>
      <w:r>
        <w:rPr>
          <w:rFonts w:hint="eastAsia" w:eastAsia="仿宋_GB2312"/>
          <w:sz w:val="32"/>
          <w:szCs w:val="32"/>
        </w:rPr>
        <w:t>。</w:t>
      </w:r>
      <w:r>
        <w:rPr>
          <w:rFonts w:hint="eastAsia" w:ascii="仿宋_GB2312" w:eastAsia="仿宋_GB2312"/>
          <w:sz w:val="32"/>
          <w:szCs w:val="32"/>
        </w:rPr>
        <w:t>依托智慧城管平台，建立健全责任人基础</w:t>
      </w:r>
      <w:r>
        <w:rPr>
          <w:rFonts w:ascii="仿宋_GB2312" w:eastAsia="仿宋_GB2312"/>
          <w:sz w:val="32"/>
          <w:szCs w:val="32"/>
        </w:rPr>
        <w:t>信息</w:t>
      </w:r>
      <w:r>
        <w:rPr>
          <w:rFonts w:hint="eastAsia" w:ascii="仿宋_GB2312" w:eastAsia="仿宋_GB2312"/>
          <w:sz w:val="32"/>
          <w:szCs w:val="32"/>
        </w:rPr>
        <w:t>，以执法</w:t>
      </w:r>
      <w:r>
        <w:rPr>
          <w:rFonts w:ascii="仿宋_GB2312" w:eastAsia="仿宋_GB2312"/>
          <w:sz w:val="32"/>
          <w:szCs w:val="32"/>
        </w:rPr>
        <w:t>管理人员的</w:t>
      </w:r>
      <w:r>
        <w:rPr>
          <w:rFonts w:hint="eastAsia" w:ascii="仿宋_GB2312" w:eastAsia="仿宋_GB2312"/>
          <w:sz w:val="32"/>
          <w:szCs w:val="32"/>
        </w:rPr>
        <w:t>检查、</w:t>
      </w:r>
      <w:r>
        <w:rPr>
          <w:rFonts w:ascii="仿宋_GB2312" w:eastAsia="仿宋_GB2312"/>
          <w:sz w:val="32"/>
          <w:szCs w:val="32"/>
        </w:rPr>
        <w:t>抽查</w:t>
      </w:r>
      <w:r>
        <w:rPr>
          <w:rFonts w:hint="eastAsia" w:ascii="仿宋_GB2312" w:eastAsia="仿宋_GB2312"/>
          <w:sz w:val="32"/>
          <w:szCs w:val="32"/>
        </w:rPr>
        <w:t>记录为依据，据实录入责任人执行</w:t>
      </w:r>
      <w:r>
        <w:rPr>
          <w:rFonts w:eastAsia="仿宋_GB2312"/>
          <w:sz w:val="32"/>
          <w:szCs w:val="32"/>
        </w:rPr>
        <w:t>环境卫生责任区制度</w:t>
      </w:r>
      <w:r>
        <w:rPr>
          <w:rFonts w:hint="eastAsia" w:ascii="仿宋_GB2312" w:eastAsia="仿宋_GB2312"/>
          <w:sz w:val="32"/>
          <w:szCs w:val="32"/>
        </w:rPr>
        <w:t>情况，做到一查就明、一看就清。</w:t>
      </w:r>
    </w:p>
    <w:p>
      <w:pPr>
        <w:spacing w:line="560" w:lineRule="exact"/>
        <w:ind w:firstLine="643" w:firstLineChars="200"/>
        <w:rPr>
          <w:rFonts w:eastAsia="仿宋_GB2312"/>
          <w:sz w:val="32"/>
          <w:szCs w:val="32"/>
        </w:rPr>
      </w:pPr>
      <w:r>
        <w:rPr>
          <w:rFonts w:hint="eastAsia" w:eastAsia="仿宋_GB2312"/>
          <w:b/>
          <w:sz w:val="32"/>
          <w:szCs w:val="32"/>
        </w:rPr>
        <w:t>（二）环境卫生：</w:t>
      </w:r>
      <w:r>
        <w:rPr>
          <w:rFonts w:hint="eastAsia" w:eastAsia="仿宋_GB2312"/>
          <w:sz w:val="32"/>
          <w:szCs w:val="32"/>
        </w:rPr>
        <w:t>推行</w:t>
      </w:r>
      <w:r>
        <w:rPr>
          <w:rFonts w:eastAsia="仿宋_GB2312"/>
          <w:sz w:val="32"/>
          <w:szCs w:val="32"/>
        </w:rPr>
        <w:t>环境卫生责任区制度</w:t>
      </w:r>
      <w:r>
        <w:rPr>
          <w:rFonts w:hint="eastAsia" w:eastAsia="仿宋_GB2312"/>
          <w:sz w:val="32"/>
          <w:szCs w:val="32"/>
        </w:rPr>
        <w:t>的</w:t>
      </w:r>
      <w:r>
        <w:rPr>
          <w:rFonts w:eastAsia="仿宋_GB2312"/>
          <w:sz w:val="32"/>
          <w:szCs w:val="32"/>
        </w:rPr>
        <w:t>路段，</w:t>
      </w:r>
      <w:r>
        <w:rPr>
          <w:rFonts w:hint="eastAsia" w:eastAsia="仿宋_GB2312"/>
          <w:sz w:val="32"/>
          <w:szCs w:val="32"/>
        </w:rPr>
        <w:t>责任人</w:t>
      </w:r>
      <w:r>
        <w:rPr>
          <w:rFonts w:eastAsia="仿宋_GB2312"/>
          <w:sz w:val="32"/>
          <w:szCs w:val="32"/>
        </w:rPr>
        <w:t>按规定实行生活垃圾分类投放</w:t>
      </w:r>
      <w:r>
        <w:rPr>
          <w:rFonts w:hint="eastAsia" w:eastAsia="仿宋_GB2312"/>
          <w:sz w:val="32"/>
          <w:szCs w:val="32"/>
        </w:rPr>
        <w:t>，实现撤桶进店，</w:t>
      </w:r>
      <w:r>
        <w:rPr>
          <w:rFonts w:eastAsia="仿宋_GB2312"/>
          <w:sz w:val="32"/>
          <w:szCs w:val="32"/>
        </w:rPr>
        <w:t>做到垃圾不出门</w:t>
      </w:r>
      <w:r>
        <w:rPr>
          <w:rFonts w:hint="eastAsia" w:eastAsia="仿宋_GB2312"/>
          <w:sz w:val="32"/>
          <w:szCs w:val="32"/>
        </w:rPr>
        <w:t>。</w:t>
      </w:r>
      <w:r>
        <w:rPr>
          <w:rFonts w:eastAsia="仿宋_GB2312"/>
          <w:sz w:val="32"/>
          <w:szCs w:val="32"/>
        </w:rPr>
        <w:t>责任区</w:t>
      </w:r>
      <w:r>
        <w:rPr>
          <w:rFonts w:hint="eastAsia" w:eastAsia="仿宋_GB2312"/>
          <w:sz w:val="32"/>
          <w:szCs w:val="32"/>
        </w:rPr>
        <w:t>范围</w:t>
      </w:r>
      <w:r>
        <w:rPr>
          <w:rFonts w:eastAsia="仿宋_GB2312"/>
          <w:sz w:val="32"/>
          <w:szCs w:val="32"/>
        </w:rPr>
        <w:t>内保洁</w:t>
      </w:r>
      <w:r>
        <w:rPr>
          <w:rFonts w:hint="eastAsia" w:eastAsia="仿宋_GB2312"/>
          <w:sz w:val="32"/>
          <w:szCs w:val="32"/>
        </w:rPr>
        <w:t>及时、</w:t>
      </w:r>
      <w:r>
        <w:rPr>
          <w:rFonts w:eastAsia="仿宋_GB2312"/>
          <w:sz w:val="32"/>
          <w:szCs w:val="32"/>
        </w:rPr>
        <w:t>到位</w:t>
      </w:r>
      <w:r>
        <w:rPr>
          <w:rFonts w:hint="eastAsia" w:eastAsia="仿宋_GB2312"/>
          <w:sz w:val="32"/>
          <w:szCs w:val="32"/>
        </w:rPr>
        <w:t>，</w:t>
      </w:r>
      <w:r>
        <w:rPr>
          <w:rFonts w:eastAsia="仿宋_GB2312"/>
          <w:sz w:val="32"/>
          <w:szCs w:val="32"/>
        </w:rPr>
        <w:t>无</w:t>
      </w:r>
      <w:r>
        <w:rPr>
          <w:rFonts w:hint="eastAsia" w:eastAsia="仿宋_GB2312"/>
          <w:sz w:val="32"/>
          <w:szCs w:val="32"/>
        </w:rPr>
        <w:t>明显</w:t>
      </w:r>
      <w:r>
        <w:rPr>
          <w:rFonts w:eastAsia="仿宋_GB2312"/>
          <w:sz w:val="32"/>
          <w:szCs w:val="32"/>
        </w:rPr>
        <w:t>痰迹、污物、废弃物</w:t>
      </w:r>
      <w:r>
        <w:rPr>
          <w:rFonts w:hint="eastAsia" w:eastAsia="仿宋_GB2312"/>
          <w:sz w:val="32"/>
          <w:szCs w:val="32"/>
        </w:rPr>
        <w:t>，</w:t>
      </w:r>
      <w:r>
        <w:rPr>
          <w:rFonts w:eastAsia="仿宋_GB2312"/>
          <w:sz w:val="32"/>
          <w:szCs w:val="32"/>
        </w:rPr>
        <w:t>无乱张贴刻画涂写、乱便溺、污水乱</w:t>
      </w:r>
      <w:r>
        <w:rPr>
          <w:rFonts w:hint="eastAsia" w:eastAsia="仿宋_GB2312"/>
          <w:sz w:val="32"/>
          <w:szCs w:val="32"/>
        </w:rPr>
        <w:t>排</w:t>
      </w:r>
      <w:r>
        <w:rPr>
          <w:rFonts w:eastAsia="仿宋_GB2312"/>
          <w:sz w:val="32"/>
          <w:szCs w:val="32"/>
        </w:rPr>
        <w:t>等现象。</w:t>
      </w:r>
    </w:p>
    <w:p>
      <w:pPr>
        <w:spacing w:line="560" w:lineRule="exact"/>
        <w:ind w:firstLine="643" w:firstLineChars="200"/>
        <w:rPr>
          <w:rFonts w:eastAsia="仿宋_GB2312"/>
          <w:sz w:val="32"/>
          <w:szCs w:val="32"/>
        </w:rPr>
      </w:pPr>
      <w:r>
        <w:rPr>
          <w:rFonts w:hint="eastAsia" w:eastAsia="仿宋_GB2312"/>
          <w:b/>
          <w:sz w:val="32"/>
          <w:szCs w:val="32"/>
        </w:rPr>
        <w:t>（</w:t>
      </w:r>
      <w:r>
        <w:rPr>
          <w:rFonts w:eastAsia="仿宋_GB2312"/>
          <w:b/>
          <w:sz w:val="32"/>
          <w:szCs w:val="32"/>
        </w:rPr>
        <w:t>三</w:t>
      </w:r>
      <w:r>
        <w:rPr>
          <w:rFonts w:hint="eastAsia" w:eastAsia="仿宋_GB2312"/>
          <w:b/>
          <w:sz w:val="32"/>
          <w:szCs w:val="32"/>
        </w:rPr>
        <w:t>）市容市貌：</w:t>
      </w:r>
      <w:r>
        <w:rPr>
          <w:rFonts w:hint="eastAsia" w:eastAsia="仿宋_GB2312"/>
          <w:sz w:val="32"/>
          <w:szCs w:val="32"/>
        </w:rPr>
        <w:t>推行环境卫生责任区制度的路段，责任人</w:t>
      </w:r>
      <w:r>
        <w:rPr>
          <w:rFonts w:eastAsia="仿宋_GB2312"/>
          <w:sz w:val="32"/>
          <w:szCs w:val="32"/>
        </w:rPr>
        <w:t>依法设置和维护户外广告和招牌，</w:t>
      </w:r>
      <w:r>
        <w:rPr>
          <w:rFonts w:hint="eastAsia" w:eastAsia="仿宋_GB2312"/>
          <w:sz w:val="32"/>
          <w:szCs w:val="32"/>
        </w:rPr>
        <w:t>无</w:t>
      </w:r>
      <w:r>
        <w:rPr>
          <w:rFonts w:eastAsia="仿宋_GB2312"/>
          <w:sz w:val="32"/>
          <w:szCs w:val="32"/>
        </w:rPr>
        <w:t>擅自张挂布幅广告标语或设置气标、气柱、气拱门</w:t>
      </w:r>
      <w:r>
        <w:rPr>
          <w:rFonts w:hint="eastAsia" w:eastAsia="仿宋_GB2312"/>
          <w:sz w:val="32"/>
          <w:szCs w:val="32"/>
        </w:rPr>
        <w:t>情况。</w:t>
      </w:r>
      <w:r>
        <w:rPr>
          <w:rFonts w:eastAsia="仿宋_GB2312"/>
          <w:sz w:val="32"/>
          <w:szCs w:val="32"/>
        </w:rPr>
        <w:t>责任区</w:t>
      </w:r>
      <w:r>
        <w:rPr>
          <w:rFonts w:hint="eastAsia" w:eastAsia="仿宋_GB2312"/>
          <w:sz w:val="32"/>
          <w:szCs w:val="32"/>
        </w:rPr>
        <w:t>范围内</w:t>
      </w:r>
      <w:r>
        <w:rPr>
          <w:rFonts w:eastAsia="仿宋_GB2312"/>
          <w:sz w:val="32"/>
          <w:szCs w:val="32"/>
        </w:rPr>
        <w:t>建</w:t>
      </w:r>
      <w:r>
        <w:rPr>
          <w:rFonts w:hint="eastAsia" w:eastAsia="仿宋_GB2312"/>
          <w:sz w:val="32"/>
          <w:szCs w:val="32"/>
        </w:rPr>
        <w:t>（构）</w:t>
      </w:r>
      <w:r>
        <w:rPr>
          <w:rFonts w:eastAsia="仿宋_GB2312"/>
          <w:sz w:val="32"/>
          <w:szCs w:val="32"/>
        </w:rPr>
        <w:t>筑物和其他设施整洁、完好、美观。空调外机</w:t>
      </w:r>
      <w:r>
        <w:rPr>
          <w:rFonts w:hint="eastAsia" w:eastAsia="仿宋_GB2312"/>
          <w:sz w:val="32"/>
          <w:szCs w:val="32"/>
        </w:rPr>
        <w:t>无</w:t>
      </w:r>
      <w:r>
        <w:rPr>
          <w:rFonts w:eastAsia="仿宋_GB2312"/>
          <w:sz w:val="32"/>
          <w:szCs w:val="32"/>
        </w:rPr>
        <w:t>敞排冷凝水</w:t>
      </w:r>
      <w:r>
        <w:rPr>
          <w:rFonts w:hint="eastAsia" w:eastAsia="仿宋_GB2312"/>
          <w:sz w:val="32"/>
          <w:szCs w:val="32"/>
        </w:rPr>
        <w:t>现象。</w:t>
      </w:r>
    </w:p>
    <w:p>
      <w:pPr>
        <w:spacing w:line="560" w:lineRule="exact"/>
        <w:ind w:firstLine="643" w:firstLineChars="200"/>
        <w:rPr>
          <w:rFonts w:eastAsia="仿宋_GB2312"/>
          <w:sz w:val="32"/>
          <w:szCs w:val="32"/>
        </w:rPr>
      </w:pPr>
      <w:r>
        <w:rPr>
          <w:rFonts w:hint="eastAsia" w:eastAsia="仿宋_GB2312"/>
          <w:b/>
          <w:sz w:val="32"/>
          <w:szCs w:val="32"/>
        </w:rPr>
        <w:t>（四）秩序维护：</w:t>
      </w:r>
      <w:r>
        <w:rPr>
          <w:rFonts w:hint="eastAsia" w:eastAsia="仿宋_GB2312"/>
          <w:sz w:val="32"/>
          <w:szCs w:val="32"/>
        </w:rPr>
        <w:t>推行环境卫生责任区制度的路段，责任人未</w:t>
      </w:r>
      <w:r>
        <w:rPr>
          <w:rFonts w:eastAsia="仿宋_GB2312"/>
          <w:sz w:val="32"/>
          <w:szCs w:val="32"/>
        </w:rPr>
        <w:t>出现跨门、占道</w:t>
      </w:r>
      <w:r>
        <w:rPr>
          <w:rFonts w:hint="eastAsia" w:eastAsia="仿宋_GB2312"/>
          <w:sz w:val="32"/>
          <w:szCs w:val="32"/>
        </w:rPr>
        <w:t>、利用</w:t>
      </w:r>
      <w:r>
        <w:rPr>
          <w:rFonts w:eastAsia="仿宋_GB2312"/>
          <w:sz w:val="32"/>
          <w:szCs w:val="32"/>
        </w:rPr>
        <w:t>高音喇叭经营</w:t>
      </w:r>
      <w:r>
        <w:rPr>
          <w:rFonts w:hint="eastAsia" w:eastAsia="仿宋_GB2312"/>
          <w:sz w:val="32"/>
          <w:szCs w:val="32"/>
        </w:rPr>
        <w:t>情况</w:t>
      </w:r>
      <w:r>
        <w:rPr>
          <w:rFonts w:eastAsia="仿宋_GB2312"/>
          <w:sz w:val="32"/>
          <w:szCs w:val="32"/>
        </w:rPr>
        <w:t>。</w:t>
      </w:r>
      <w:r>
        <w:rPr>
          <w:rFonts w:hint="eastAsia" w:eastAsia="仿宋_GB2312"/>
          <w:sz w:val="32"/>
          <w:szCs w:val="32"/>
        </w:rPr>
        <w:t>责任区</w:t>
      </w:r>
      <w:r>
        <w:rPr>
          <w:rFonts w:eastAsia="仿宋_GB2312"/>
          <w:sz w:val="32"/>
          <w:szCs w:val="32"/>
        </w:rPr>
        <w:t>范围内不乱搭乱建、不乱堆杂物，不伸杆搭篷。不在店门外摆设垃圾器皿、晾晒衣物</w:t>
      </w:r>
      <w:r>
        <w:rPr>
          <w:rFonts w:hint="eastAsia" w:eastAsia="仿宋_GB2312"/>
          <w:sz w:val="32"/>
          <w:szCs w:val="32"/>
        </w:rPr>
        <w:t>、渔获物</w:t>
      </w:r>
      <w:r>
        <w:rPr>
          <w:rFonts w:eastAsia="仿宋_GB2312"/>
          <w:sz w:val="32"/>
          <w:szCs w:val="32"/>
        </w:rPr>
        <w:t>、搭桌设座、棋牌娱乐、烹煮食物、用餐喝茶。车辆按指定地点规范停放、朝向一致</w:t>
      </w:r>
      <w:r>
        <w:rPr>
          <w:rFonts w:hint="eastAsia" w:eastAsia="仿宋_GB2312"/>
          <w:sz w:val="32"/>
          <w:szCs w:val="32"/>
        </w:rPr>
        <w:t>。</w:t>
      </w:r>
    </w:p>
    <w:p>
      <w:pPr>
        <w:spacing w:line="560" w:lineRule="exact"/>
        <w:ind w:firstLine="643" w:firstLineChars="200"/>
        <w:rPr>
          <w:rFonts w:ascii="仿宋_GB2312" w:eastAsia="仿宋_GB2312"/>
          <w:sz w:val="32"/>
          <w:szCs w:val="32"/>
        </w:rPr>
      </w:pPr>
      <w:r>
        <w:rPr>
          <w:rFonts w:hint="eastAsia" w:eastAsia="仿宋_GB2312"/>
          <w:b/>
          <w:sz w:val="32"/>
          <w:szCs w:val="32"/>
        </w:rPr>
        <w:t>（五）绿化管理：</w:t>
      </w:r>
      <w:r>
        <w:rPr>
          <w:rFonts w:hint="eastAsia" w:eastAsia="仿宋_GB2312"/>
          <w:sz w:val="32"/>
          <w:szCs w:val="32"/>
        </w:rPr>
        <w:t>推行环境卫生责任区制度的路段，责任区范围内无</w:t>
      </w:r>
      <w:r>
        <w:rPr>
          <w:rFonts w:hint="eastAsia" w:ascii="仿宋_GB2312" w:eastAsia="仿宋_GB2312"/>
          <w:sz w:val="32"/>
          <w:szCs w:val="32"/>
        </w:rPr>
        <w:t>采摘、攀折、钉拴、刻划、缠绕等方式损坏绿化植物现象</w:t>
      </w:r>
      <w:r>
        <w:rPr>
          <w:rFonts w:ascii="仿宋_GB2312" w:eastAsia="仿宋_GB2312"/>
          <w:sz w:val="32"/>
          <w:szCs w:val="32"/>
        </w:rPr>
        <w:t>。</w:t>
      </w:r>
      <w:r>
        <w:rPr>
          <w:rFonts w:hint="eastAsia" w:ascii="仿宋_GB2312" w:eastAsia="仿宋_GB2312"/>
          <w:sz w:val="32"/>
          <w:szCs w:val="32"/>
        </w:rPr>
        <w:t>责任人负责</w:t>
      </w:r>
      <w:r>
        <w:rPr>
          <w:rFonts w:ascii="仿宋_GB2312" w:eastAsia="仿宋_GB2312"/>
          <w:sz w:val="32"/>
          <w:szCs w:val="32"/>
        </w:rPr>
        <w:t>的</w:t>
      </w:r>
      <w:r>
        <w:rPr>
          <w:rFonts w:hint="eastAsia" w:ascii="仿宋_GB2312" w:eastAsia="仿宋_GB2312"/>
          <w:sz w:val="32"/>
          <w:szCs w:val="32"/>
        </w:rPr>
        <w:t>绿地内无乱堆物、采石取土、开垦种植、私搭乱建、</w:t>
      </w:r>
      <w:r>
        <w:rPr>
          <w:rFonts w:ascii="仿宋_GB2312" w:eastAsia="仿宋_GB2312"/>
          <w:sz w:val="32"/>
          <w:szCs w:val="32"/>
        </w:rPr>
        <w:t>砍伐花木、践踏绿地、损坏绿化设施</w:t>
      </w:r>
      <w:r>
        <w:rPr>
          <w:rFonts w:hint="eastAsia" w:ascii="仿宋_GB2312" w:eastAsia="仿宋_GB2312"/>
          <w:sz w:val="32"/>
          <w:szCs w:val="32"/>
        </w:rPr>
        <w:t>现象</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、部门</w:t>
      </w:r>
      <w:r>
        <w:rPr>
          <w:rFonts w:hint="eastAsia" w:ascii="黑体" w:hAnsi="黑体" w:eastAsia="黑体"/>
          <w:sz w:val="32"/>
          <w:szCs w:val="32"/>
        </w:rPr>
        <w:t>职责</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县公安局：</w:t>
      </w:r>
      <w:r>
        <w:rPr>
          <w:rFonts w:hint="eastAsia" w:ascii="仿宋_GB2312" w:eastAsia="仿宋_GB2312"/>
          <w:sz w:val="32"/>
          <w:szCs w:val="32"/>
        </w:rPr>
        <w:t>负责检查环境卫生责任区范围内道路基础设施管理、维护情况，协调解决人行道停车泊位“应划未划”、路牌标识乱设等问题。</w:t>
      </w:r>
    </w:p>
    <w:p>
      <w:pPr>
        <w:widowControl/>
        <w:spacing w:line="560" w:lineRule="exact"/>
        <w:ind w:firstLine="643" w:firstLineChars="200"/>
        <w:rPr>
          <w:rFonts w:ascii="仿宋_GB2312" w:hAnsi="仿宋" w:eastAsia="仿宋_GB2312"/>
          <w:kern w:val="0"/>
          <w:sz w:val="32"/>
          <w:szCs w:val="32"/>
        </w:rPr>
      </w:pPr>
      <w:r>
        <w:rPr>
          <w:rFonts w:hint="eastAsia" w:ascii="仿宋_GB2312" w:eastAsia="仿宋_GB2312"/>
          <w:b/>
          <w:sz w:val="32"/>
          <w:szCs w:val="32"/>
        </w:rPr>
        <w:t>县市场监督管理局：</w:t>
      </w:r>
      <w:r>
        <w:rPr>
          <w:rFonts w:hint="eastAsia" w:ascii="仿宋_GB2312" w:hAnsi="楷体" w:eastAsia="仿宋_GB2312"/>
          <w:sz w:val="32"/>
          <w:szCs w:val="32"/>
        </w:rPr>
        <w:t>负责</w:t>
      </w:r>
      <w:r>
        <w:rPr>
          <w:rFonts w:hint="eastAsia" w:ascii="仿宋_GB2312" w:hAnsi="仿宋" w:eastAsia="仿宋_GB2312"/>
          <w:kern w:val="0"/>
          <w:sz w:val="32"/>
          <w:szCs w:val="32"/>
        </w:rPr>
        <w:t>督促餐饮行业的环境卫生责任区责任人落实主体责任，</w:t>
      </w:r>
      <w:r>
        <w:rPr>
          <w:rFonts w:hint="eastAsia" w:ascii="仿宋_GB2312" w:hAnsi="宋体" w:eastAsia="仿宋_GB2312"/>
          <w:kern w:val="0"/>
          <w:sz w:val="32"/>
          <w:szCs w:val="32"/>
        </w:rPr>
        <w:t>将执法部门通报的违法信息和其他未履行环境卫生责任区责任的行为，及时告知相关当事人，督促“门前四包”制度的落实。</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县综合行政执法局：</w:t>
      </w:r>
      <w:r>
        <w:rPr>
          <w:rFonts w:hint="eastAsia" w:ascii="仿宋_GB2312" w:eastAsia="仿宋_GB2312"/>
          <w:sz w:val="32"/>
          <w:szCs w:val="32"/>
        </w:rPr>
        <w:t>为本行动的牵头单位，负责制定环境卫生责任区制度（门前四包）示范街创建行动实施方案，制定示范街测评细则，对环境卫生责任区制度落实情况进行指导、协调、检查、考核。同时组织协调高亭镇和相关职能部门开展具体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团县委：</w:t>
      </w:r>
      <w:r>
        <w:rPr>
          <w:rFonts w:hint="eastAsia" w:ascii="仿宋_GB2312" w:eastAsia="仿宋_GB2312"/>
          <w:sz w:val="32"/>
          <w:szCs w:val="32"/>
        </w:rPr>
        <w:t>安排志愿者配合参与“门前四包”星级评定。</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高亭镇：</w:t>
      </w:r>
      <w:r>
        <w:rPr>
          <w:rFonts w:hint="eastAsia" w:ascii="仿宋_GB2312" w:eastAsia="仿宋_GB2312"/>
          <w:sz w:val="32"/>
          <w:szCs w:val="32"/>
        </w:rPr>
        <w:t>安排社区工作人员配合参与“门前四包”星级评定。</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创建</w:t>
      </w:r>
      <w:r>
        <w:rPr>
          <w:rFonts w:ascii="黑体" w:hAnsi="黑体" w:eastAsia="黑体"/>
          <w:sz w:val="32"/>
          <w:szCs w:val="32"/>
        </w:rPr>
        <w:t>步骤</w:t>
      </w:r>
    </w:p>
    <w:p>
      <w:pPr>
        <w:spacing w:line="560" w:lineRule="exact"/>
        <w:ind w:firstLine="643" w:firstLineChars="200"/>
        <w:rPr>
          <w:rFonts w:ascii="仿宋_GB2312" w:eastAsia="仿宋_GB2312"/>
          <w:sz w:val="32"/>
          <w:szCs w:val="32"/>
        </w:rPr>
      </w:pPr>
      <w:r>
        <w:rPr>
          <w:rFonts w:hint="eastAsia" w:eastAsia="仿宋_GB2312"/>
          <w:b/>
          <w:sz w:val="32"/>
          <w:szCs w:val="32"/>
        </w:rPr>
        <w:t>（一）查漏补缺，</w:t>
      </w:r>
      <w:r>
        <w:rPr>
          <w:rFonts w:eastAsia="仿宋_GB2312"/>
          <w:b/>
          <w:sz w:val="32"/>
          <w:szCs w:val="32"/>
        </w:rPr>
        <w:t>完善基础信息</w:t>
      </w:r>
      <w:r>
        <w:rPr>
          <w:rFonts w:hint="eastAsia" w:eastAsia="仿宋_GB2312"/>
          <w:b/>
          <w:sz w:val="32"/>
          <w:szCs w:val="32"/>
        </w:rPr>
        <w:t>。</w:t>
      </w:r>
      <w:r>
        <w:rPr>
          <w:rFonts w:hint="eastAsia" w:ascii="仿宋_GB2312" w:eastAsia="仿宋_GB2312"/>
          <w:sz w:val="32"/>
          <w:szCs w:val="32"/>
        </w:rPr>
        <w:t>在</w:t>
      </w:r>
      <w:r>
        <w:rPr>
          <w:rFonts w:ascii="仿宋_GB2312" w:eastAsia="仿宋_GB2312"/>
          <w:sz w:val="32"/>
          <w:szCs w:val="32"/>
        </w:rPr>
        <w:t>前期</w:t>
      </w:r>
      <w:r>
        <w:rPr>
          <w:rFonts w:hint="eastAsia" w:ascii="仿宋_GB2312" w:eastAsia="仿宋_GB2312"/>
          <w:sz w:val="32"/>
          <w:szCs w:val="32"/>
        </w:rPr>
        <w:t>推行</w:t>
      </w:r>
      <w:r>
        <w:rPr>
          <w:rFonts w:ascii="仿宋_GB2312" w:eastAsia="仿宋_GB2312"/>
          <w:sz w:val="32"/>
          <w:szCs w:val="32"/>
        </w:rPr>
        <w:t>环境卫生责任区制度的基础上，对相关路段的责任人信息</w:t>
      </w:r>
      <w:r>
        <w:rPr>
          <w:rFonts w:hint="eastAsia" w:ascii="仿宋_GB2312" w:eastAsia="仿宋_GB2312"/>
          <w:sz w:val="32"/>
          <w:szCs w:val="32"/>
        </w:rPr>
        <w:t>开展</w:t>
      </w:r>
      <w:r>
        <w:rPr>
          <w:rFonts w:ascii="仿宋_GB2312" w:eastAsia="仿宋_GB2312"/>
          <w:sz w:val="32"/>
          <w:szCs w:val="32"/>
        </w:rPr>
        <w:t>进一步摸底排查</w:t>
      </w:r>
      <w:r>
        <w:rPr>
          <w:rFonts w:hint="eastAsia" w:ascii="仿宋_GB2312" w:eastAsia="仿宋_GB2312"/>
          <w:sz w:val="32"/>
          <w:szCs w:val="32"/>
        </w:rPr>
        <w:t>，及时补充</w:t>
      </w:r>
      <w:r>
        <w:rPr>
          <w:rFonts w:ascii="仿宋_GB2312" w:eastAsia="仿宋_GB2312"/>
          <w:sz w:val="32"/>
          <w:szCs w:val="32"/>
        </w:rPr>
        <w:t>、</w:t>
      </w:r>
      <w:r>
        <w:rPr>
          <w:rFonts w:hint="eastAsia" w:ascii="仿宋_GB2312" w:eastAsia="仿宋_GB2312"/>
          <w:sz w:val="32"/>
          <w:szCs w:val="32"/>
        </w:rPr>
        <w:t>更新、</w:t>
      </w:r>
      <w:r>
        <w:rPr>
          <w:rFonts w:ascii="仿宋_GB2312" w:eastAsia="仿宋_GB2312"/>
          <w:sz w:val="32"/>
          <w:szCs w:val="32"/>
        </w:rPr>
        <w:t>完善</w:t>
      </w:r>
      <w:r>
        <w:rPr>
          <w:rFonts w:hint="eastAsia" w:ascii="仿宋_GB2312" w:eastAsia="仿宋_GB2312"/>
          <w:sz w:val="32"/>
          <w:szCs w:val="32"/>
        </w:rPr>
        <w:t>责任人</w:t>
      </w:r>
      <w:r>
        <w:rPr>
          <w:rFonts w:ascii="仿宋_GB2312" w:eastAsia="仿宋_GB2312"/>
          <w:sz w:val="32"/>
          <w:szCs w:val="32"/>
        </w:rPr>
        <w:t>的基础信息</w:t>
      </w:r>
      <w:r>
        <w:rPr>
          <w:rFonts w:hint="eastAsia" w:ascii="仿宋_GB2312" w:eastAsia="仿宋_GB2312"/>
          <w:sz w:val="32"/>
          <w:szCs w:val="32"/>
        </w:rPr>
        <w:t>。合理</w:t>
      </w:r>
      <w:r>
        <w:rPr>
          <w:rFonts w:ascii="仿宋_GB2312" w:eastAsia="仿宋_GB2312"/>
          <w:sz w:val="32"/>
          <w:szCs w:val="32"/>
        </w:rPr>
        <w:t>确定</w:t>
      </w:r>
      <w:r>
        <w:rPr>
          <w:rFonts w:hint="eastAsia" w:ascii="仿宋_GB2312" w:eastAsia="仿宋_GB2312"/>
          <w:sz w:val="32"/>
          <w:szCs w:val="32"/>
        </w:rPr>
        <w:t>并</w:t>
      </w:r>
      <w:r>
        <w:rPr>
          <w:rFonts w:ascii="仿宋_GB2312" w:eastAsia="仿宋_GB2312"/>
          <w:sz w:val="32"/>
          <w:szCs w:val="32"/>
        </w:rPr>
        <w:t>明确</w:t>
      </w:r>
      <w:r>
        <w:rPr>
          <w:rFonts w:hint="eastAsia" w:eastAsia="仿宋_GB2312"/>
          <w:sz w:val="32"/>
          <w:szCs w:val="32"/>
        </w:rPr>
        <w:t>环境卫生责任区的具体范围和责任要求，防止</w:t>
      </w:r>
      <w:r>
        <w:rPr>
          <w:rFonts w:eastAsia="仿宋_GB2312"/>
          <w:sz w:val="32"/>
          <w:szCs w:val="32"/>
        </w:rPr>
        <w:t>出现责任区</w:t>
      </w:r>
      <w:r>
        <w:rPr>
          <w:rFonts w:hint="eastAsia" w:eastAsia="仿宋_GB2312"/>
          <w:sz w:val="32"/>
          <w:szCs w:val="32"/>
        </w:rPr>
        <w:t>范围</w:t>
      </w:r>
      <w:r>
        <w:rPr>
          <w:rFonts w:eastAsia="仿宋_GB2312"/>
          <w:sz w:val="32"/>
          <w:szCs w:val="32"/>
        </w:rPr>
        <w:t>不明，责任不清</w:t>
      </w:r>
      <w:r>
        <w:rPr>
          <w:rFonts w:hint="eastAsia" w:eastAsia="仿宋_GB2312"/>
          <w:sz w:val="32"/>
          <w:szCs w:val="32"/>
        </w:rPr>
        <w:t>、制度</w:t>
      </w:r>
      <w:r>
        <w:rPr>
          <w:rFonts w:eastAsia="仿宋_GB2312"/>
          <w:sz w:val="32"/>
          <w:szCs w:val="32"/>
        </w:rPr>
        <w:t>上墙不到位等问题。</w:t>
      </w:r>
      <w:r>
        <w:rPr>
          <w:rFonts w:ascii="仿宋_GB2312" w:eastAsia="仿宋_GB2312"/>
          <w:sz w:val="32"/>
          <w:szCs w:val="32"/>
        </w:rPr>
        <w:t>前期未对责任人落实制度情况开展检查</w:t>
      </w:r>
      <w:r>
        <w:rPr>
          <w:rFonts w:hint="eastAsia" w:ascii="仿宋_GB2312" w:eastAsia="仿宋_GB2312"/>
          <w:sz w:val="32"/>
          <w:szCs w:val="32"/>
        </w:rPr>
        <w:t>、</w:t>
      </w:r>
      <w:r>
        <w:rPr>
          <w:rFonts w:ascii="仿宋_GB2312" w:eastAsia="仿宋_GB2312"/>
          <w:sz w:val="32"/>
          <w:szCs w:val="32"/>
        </w:rPr>
        <w:t>抽查的，</w:t>
      </w:r>
      <w:r>
        <w:rPr>
          <w:rFonts w:hint="eastAsia" w:ascii="仿宋_GB2312" w:eastAsia="仿宋_GB2312"/>
          <w:sz w:val="32"/>
          <w:szCs w:val="32"/>
        </w:rPr>
        <w:t>同步</w:t>
      </w:r>
      <w:r>
        <w:rPr>
          <w:rFonts w:ascii="仿宋_GB2312" w:eastAsia="仿宋_GB2312"/>
          <w:sz w:val="32"/>
          <w:szCs w:val="32"/>
        </w:rPr>
        <w:t>开展</w:t>
      </w:r>
      <w:r>
        <w:rPr>
          <w:rFonts w:hint="eastAsia" w:ascii="仿宋_GB2312" w:eastAsia="仿宋_GB2312"/>
          <w:sz w:val="32"/>
          <w:szCs w:val="32"/>
        </w:rPr>
        <w:t>落实</w:t>
      </w:r>
      <w:r>
        <w:rPr>
          <w:rFonts w:ascii="仿宋_GB2312" w:eastAsia="仿宋_GB2312"/>
          <w:sz w:val="32"/>
          <w:szCs w:val="32"/>
        </w:rPr>
        <w:t>情况检查</w:t>
      </w:r>
      <w:r>
        <w:rPr>
          <w:rFonts w:hint="eastAsia" w:ascii="仿宋_GB2312" w:eastAsia="仿宋_GB2312"/>
          <w:sz w:val="32"/>
          <w:szCs w:val="32"/>
        </w:rPr>
        <w:t>、</w:t>
      </w:r>
      <w:r>
        <w:rPr>
          <w:rFonts w:ascii="仿宋_GB2312" w:eastAsia="仿宋_GB2312"/>
          <w:sz w:val="32"/>
          <w:szCs w:val="32"/>
        </w:rPr>
        <w:t>抽查，</w:t>
      </w:r>
      <w:r>
        <w:rPr>
          <w:rFonts w:hint="eastAsia" w:ascii="仿宋_GB2312" w:eastAsia="仿宋_GB2312"/>
          <w:sz w:val="32"/>
          <w:szCs w:val="32"/>
        </w:rPr>
        <w:t>确保</w:t>
      </w:r>
      <w:r>
        <w:rPr>
          <w:rFonts w:ascii="仿宋_GB2312" w:eastAsia="仿宋_GB2312"/>
          <w:sz w:val="32"/>
          <w:szCs w:val="32"/>
        </w:rPr>
        <w:t>制度执行</w:t>
      </w:r>
      <w:r>
        <w:rPr>
          <w:rFonts w:hint="eastAsia" w:ascii="仿宋_GB2312" w:eastAsia="仿宋_GB2312"/>
          <w:sz w:val="32"/>
          <w:szCs w:val="32"/>
        </w:rPr>
        <w:t>闭环可溯。（3月</w:t>
      </w:r>
      <w:r>
        <w:rPr>
          <w:rFonts w:ascii="仿宋_GB2312" w:eastAsia="仿宋_GB2312"/>
          <w:sz w:val="32"/>
          <w:szCs w:val="32"/>
        </w:rPr>
        <w:t>底前</w:t>
      </w:r>
      <w:r>
        <w:rPr>
          <w:rFonts w:hint="eastAsia" w:ascii="仿宋_GB2312" w:eastAsia="仿宋_GB2312"/>
          <w:sz w:val="32"/>
          <w:szCs w:val="32"/>
        </w:rPr>
        <w:t>）</w:t>
      </w:r>
    </w:p>
    <w:p>
      <w:pPr>
        <w:spacing w:line="560" w:lineRule="exact"/>
        <w:ind w:firstLine="643" w:firstLineChars="200"/>
        <w:rPr>
          <w:rFonts w:ascii="仿宋_GB2312" w:eastAsia="仿宋_GB2312"/>
          <w:sz w:val="32"/>
          <w:szCs w:val="32"/>
        </w:rPr>
      </w:pPr>
      <w:r>
        <w:rPr>
          <w:rFonts w:hint="eastAsia" w:eastAsia="仿宋_GB2312"/>
          <w:b/>
          <w:sz w:val="32"/>
          <w:szCs w:val="32"/>
        </w:rPr>
        <w:t>（二）建章立制</w:t>
      </w:r>
      <w:r>
        <w:rPr>
          <w:rFonts w:eastAsia="仿宋_GB2312"/>
          <w:b/>
          <w:sz w:val="32"/>
          <w:szCs w:val="32"/>
        </w:rPr>
        <w:t>，</w:t>
      </w:r>
      <w:r>
        <w:rPr>
          <w:rFonts w:hint="eastAsia" w:eastAsia="仿宋_GB2312"/>
          <w:b/>
          <w:sz w:val="32"/>
          <w:szCs w:val="32"/>
        </w:rPr>
        <w:t>加强</w:t>
      </w:r>
      <w:r>
        <w:rPr>
          <w:rFonts w:eastAsia="仿宋_GB2312"/>
          <w:b/>
          <w:sz w:val="32"/>
          <w:szCs w:val="32"/>
        </w:rPr>
        <w:t>日常管理。</w:t>
      </w:r>
      <w:r>
        <w:rPr>
          <w:rFonts w:hint="eastAsia" w:ascii="仿宋_GB2312" w:eastAsia="仿宋_GB2312"/>
          <w:sz w:val="32"/>
          <w:szCs w:val="32"/>
        </w:rPr>
        <w:t>一是落实路长负责制度，开启责任到人的管理模式。推行</w:t>
      </w:r>
      <w:r>
        <w:rPr>
          <w:rFonts w:ascii="仿宋_GB2312" w:eastAsia="仿宋_GB2312"/>
          <w:sz w:val="32"/>
          <w:szCs w:val="32"/>
        </w:rPr>
        <w:t>环境卫生责任区制度</w:t>
      </w:r>
      <w:r>
        <w:rPr>
          <w:rFonts w:hint="eastAsia" w:ascii="仿宋_GB2312" w:eastAsia="仿宋_GB2312"/>
          <w:sz w:val="32"/>
          <w:szCs w:val="32"/>
        </w:rPr>
        <w:t>的</w:t>
      </w:r>
      <w:r>
        <w:rPr>
          <w:rFonts w:ascii="仿宋_GB2312" w:eastAsia="仿宋_GB2312"/>
          <w:sz w:val="32"/>
          <w:szCs w:val="32"/>
        </w:rPr>
        <w:t>路段</w:t>
      </w:r>
      <w:r>
        <w:rPr>
          <w:rFonts w:hint="eastAsia" w:ascii="仿宋_GB2312" w:eastAsia="仿宋_GB2312"/>
          <w:sz w:val="32"/>
          <w:szCs w:val="32"/>
        </w:rPr>
        <w:t>，</w:t>
      </w:r>
      <w:r>
        <w:rPr>
          <w:rFonts w:ascii="仿宋_GB2312" w:eastAsia="仿宋_GB2312"/>
          <w:sz w:val="32"/>
          <w:szCs w:val="32"/>
        </w:rPr>
        <w:t>制度落实情况由路长负总责</w:t>
      </w:r>
      <w:r>
        <w:rPr>
          <w:rFonts w:hint="eastAsia" w:ascii="仿宋_GB2312" w:eastAsia="仿宋_GB2312"/>
          <w:sz w:val="32"/>
          <w:szCs w:val="32"/>
        </w:rPr>
        <w:t>，具体做好制度落实的监督、检查和指导工作，做到检查有记录、管理有痕迹、纠正有成效。二是建立</w:t>
      </w:r>
      <w:r>
        <w:rPr>
          <w:rFonts w:hint="eastAsia" w:eastAsia="仿宋_GB2312"/>
          <w:sz w:val="32"/>
          <w:szCs w:val="32"/>
        </w:rPr>
        <w:t>差别化管理</w:t>
      </w:r>
      <w:r>
        <w:rPr>
          <w:rFonts w:eastAsia="仿宋_GB2312"/>
          <w:sz w:val="32"/>
          <w:szCs w:val="32"/>
        </w:rPr>
        <w:t>机制。结合日常</w:t>
      </w:r>
      <w:r>
        <w:rPr>
          <w:rFonts w:hint="eastAsia" w:eastAsia="仿宋_GB2312"/>
          <w:sz w:val="32"/>
          <w:szCs w:val="32"/>
        </w:rPr>
        <w:t>检查</w:t>
      </w:r>
      <w:r>
        <w:rPr>
          <w:rFonts w:eastAsia="仿宋_GB2312"/>
          <w:sz w:val="32"/>
          <w:szCs w:val="32"/>
        </w:rPr>
        <w:t>抽查，</w:t>
      </w:r>
      <w:r>
        <w:rPr>
          <w:rFonts w:hint="eastAsia" w:eastAsia="仿宋_GB2312"/>
          <w:sz w:val="32"/>
          <w:szCs w:val="32"/>
        </w:rPr>
        <w:t>对</w:t>
      </w:r>
      <w:r>
        <w:rPr>
          <w:rFonts w:ascii="仿宋_GB2312" w:eastAsia="仿宋_GB2312"/>
          <w:sz w:val="32"/>
          <w:szCs w:val="32"/>
        </w:rPr>
        <w:t>环境卫生责任区</w:t>
      </w:r>
      <w:r>
        <w:rPr>
          <w:rFonts w:hint="eastAsia" w:eastAsia="仿宋_GB2312"/>
          <w:sz w:val="32"/>
          <w:szCs w:val="32"/>
        </w:rPr>
        <w:t>管理工作实行差别化管理。对</w:t>
      </w:r>
      <w:r>
        <w:rPr>
          <w:rFonts w:eastAsia="仿宋_GB2312"/>
          <w:sz w:val="32"/>
          <w:szCs w:val="32"/>
        </w:rPr>
        <w:t>积极履行制度的责任人</w:t>
      </w:r>
      <w:r>
        <w:rPr>
          <w:rFonts w:hint="eastAsia" w:eastAsia="仿宋_GB2312"/>
          <w:sz w:val="32"/>
          <w:szCs w:val="32"/>
        </w:rPr>
        <w:t>适用相关</w:t>
      </w:r>
      <w:r>
        <w:rPr>
          <w:rFonts w:eastAsia="仿宋_GB2312"/>
          <w:sz w:val="32"/>
          <w:szCs w:val="32"/>
        </w:rPr>
        <w:t>违法行为首错免罚</w:t>
      </w:r>
      <w:r>
        <w:rPr>
          <w:rFonts w:hint="eastAsia" w:eastAsia="仿宋_GB2312"/>
          <w:sz w:val="32"/>
          <w:szCs w:val="32"/>
        </w:rPr>
        <w:t>制度</w:t>
      </w:r>
      <w:r>
        <w:rPr>
          <w:rFonts w:eastAsia="仿宋_GB2312"/>
          <w:sz w:val="32"/>
          <w:szCs w:val="32"/>
        </w:rPr>
        <w:t>，减少</w:t>
      </w:r>
      <w:r>
        <w:rPr>
          <w:rFonts w:hint="eastAsia" w:eastAsia="仿宋_GB2312"/>
          <w:sz w:val="32"/>
          <w:szCs w:val="32"/>
        </w:rPr>
        <w:t>检查</w:t>
      </w:r>
      <w:r>
        <w:rPr>
          <w:rFonts w:eastAsia="仿宋_GB2312"/>
          <w:sz w:val="32"/>
          <w:szCs w:val="32"/>
        </w:rPr>
        <w:t>抽查频次，</w:t>
      </w:r>
      <w:r>
        <w:rPr>
          <w:rFonts w:hint="eastAsia" w:eastAsia="仿宋_GB2312"/>
          <w:sz w:val="32"/>
          <w:szCs w:val="32"/>
        </w:rPr>
        <w:t>并</w:t>
      </w:r>
      <w:r>
        <w:rPr>
          <w:rFonts w:eastAsia="仿宋_GB2312"/>
          <w:sz w:val="32"/>
          <w:szCs w:val="32"/>
        </w:rPr>
        <w:t>对</w:t>
      </w:r>
      <w:r>
        <w:rPr>
          <w:rFonts w:hint="eastAsia" w:eastAsia="仿宋_GB2312"/>
          <w:sz w:val="32"/>
          <w:szCs w:val="32"/>
        </w:rPr>
        <w:t>道路</w:t>
      </w:r>
      <w:r>
        <w:rPr>
          <w:rFonts w:eastAsia="仿宋_GB2312"/>
          <w:sz w:val="32"/>
          <w:szCs w:val="32"/>
        </w:rPr>
        <w:t>占用、户外广告和招牌设置等审批</w:t>
      </w:r>
      <w:r>
        <w:rPr>
          <w:rFonts w:hint="eastAsia" w:eastAsia="仿宋_GB2312"/>
          <w:sz w:val="32"/>
          <w:szCs w:val="32"/>
        </w:rPr>
        <w:t>、</w:t>
      </w:r>
      <w:r>
        <w:rPr>
          <w:rFonts w:eastAsia="仿宋_GB2312"/>
          <w:sz w:val="32"/>
          <w:szCs w:val="32"/>
        </w:rPr>
        <w:t>备案提供</w:t>
      </w:r>
      <w:r>
        <w:rPr>
          <w:rFonts w:hint="eastAsia" w:eastAsia="仿宋_GB2312"/>
          <w:sz w:val="32"/>
          <w:szCs w:val="32"/>
        </w:rPr>
        <w:t>便利</w:t>
      </w:r>
      <w:r>
        <w:rPr>
          <w:rFonts w:eastAsia="仿宋_GB2312"/>
          <w:sz w:val="32"/>
          <w:szCs w:val="32"/>
        </w:rPr>
        <w:t>。</w:t>
      </w:r>
      <w:r>
        <w:rPr>
          <w:rFonts w:hint="eastAsia" w:eastAsia="仿宋_GB2312"/>
          <w:sz w:val="32"/>
          <w:szCs w:val="32"/>
        </w:rPr>
        <w:t>对不</w:t>
      </w:r>
      <w:r>
        <w:rPr>
          <w:rFonts w:eastAsia="仿宋_GB2312"/>
          <w:sz w:val="32"/>
          <w:szCs w:val="32"/>
        </w:rPr>
        <w:t>配合履行制度的责任</w:t>
      </w:r>
      <w:r>
        <w:rPr>
          <w:rFonts w:hint="eastAsia" w:eastAsia="仿宋_GB2312"/>
          <w:sz w:val="32"/>
          <w:szCs w:val="32"/>
        </w:rPr>
        <w:t>人实行重点管治，加大日常</w:t>
      </w:r>
      <w:r>
        <w:rPr>
          <w:rFonts w:eastAsia="仿宋_GB2312"/>
          <w:sz w:val="32"/>
          <w:szCs w:val="32"/>
        </w:rPr>
        <w:t>检查抽查力度，</w:t>
      </w:r>
      <w:r>
        <w:rPr>
          <w:rFonts w:hint="eastAsia" w:eastAsia="仿宋_GB2312"/>
          <w:sz w:val="32"/>
          <w:szCs w:val="32"/>
        </w:rPr>
        <w:t>对</w:t>
      </w:r>
      <w:r>
        <w:rPr>
          <w:rFonts w:eastAsia="仿宋_GB2312"/>
          <w:sz w:val="32"/>
          <w:szCs w:val="32"/>
        </w:rPr>
        <w:t>相关审批</w:t>
      </w:r>
      <w:r>
        <w:rPr>
          <w:rFonts w:hint="eastAsia" w:ascii="仿宋_GB2312" w:eastAsia="仿宋_GB2312"/>
          <w:sz w:val="32"/>
          <w:szCs w:val="32"/>
        </w:rPr>
        <w:t>依法从严把关、从紧控制。三是</w:t>
      </w:r>
      <w:r>
        <w:rPr>
          <w:rFonts w:ascii="仿宋_GB2312" w:eastAsia="仿宋_GB2312"/>
          <w:sz w:val="32"/>
          <w:szCs w:val="32"/>
        </w:rPr>
        <w:t>完善惩戒机制。</w:t>
      </w:r>
      <w:r>
        <w:rPr>
          <w:rFonts w:hint="eastAsia" w:eastAsia="仿宋_GB2312"/>
          <w:sz w:val="32"/>
          <w:szCs w:val="32"/>
        </w:rPr>
        <w:t>探索通过</w:t>
      </w:r>
      <w:r>
        <w:rPr>
          <w:rFonts w:eastAsia="仿宋_GB2312"/>
          <w:sz w:val="32"/>
          <w:szCs w:val="32"/>
        </w:rPr>
        <w:t>多种渠道</w:t>
      </w:r>
      <w:r>
        <w:rPr>
          <w:rFonts w:hint="eastAsia" w:eastAsia="仿宋_GB2312"/>
          <w:sz w:val="32"/>
          <w:szCs w:val="32"/>
        </w:rPr>
        <w:t>实现</w:t>
      </w:r>
      <w:r>
        <w:rPr>
          <w:rFonts w:eastAsia="仿宋_GB2312"/>
          <w:sz w:val="32"/>
          <w:szCs w:val="32"/>
        </w:rPr>
        <w:t>警示教育</w:t>
      </w:r>
      <w:r>
        <w:rPr>
          <w:rFonts w:hint="eastAsia" w:eastAsia="仿宋_GB2312"/>
          <w:sz w:val="32"/>
          <w:szCs w:val="32"/>
        </w:rPr>
        <w:t>，</w:t>
      </w:r>
      <w:r>
        <w:rPr>
          <w:rFonts w:eastAsia="仿宋_GB2312"/>
          <w:sz w:val="32"/>
          <w:szCs w:val="32"/>
        </w:rPr>
        <w:t>除</w:t>
      </w:r>
      <w:r>
        <w:rPr>
          <w:rFonts w:hint="eastAsia" w:eastAsia="仿宋_GB2312"/>
          <w:sz w:val="32"/>
          <w:szCs w:val="32"/>
        </w:rPr>
        <w:t>行政处罚</w:t>
      </w:r>
      <w:r>
        <w:rPr>
          <w:rFonts w:eastAsia="仿宋_GB2312"/>
          <w:sz w:val="32"/>
          <w:szCs w:val="32"/>
        </w:rPr>
        <w:t>外，</w:t>
      </w:r>
      <w:r>
        <w:rPr>
          <w:rFonts w:hint="eastAsia" w:eastAsia="仿宋_GB2312"/>
          <w:sz w:val="32"/>
          <w:szCs w:val="32"/>
        </w:rPr>
        <w:t>探索利用</w:t>
      </w:r>
      <w:r>
        <w:rPr>
          <w:rFonts w:hint="eastAsia" w:ascii="仿宋_GB2312" w:eastAsia="仿宋_GB2312"/>
          <w:sz w:val="32"/>
          <w:szCs w:val="32"/>
        </w:rPr>
        <w:t>微信交流</w:t>
      </w:r>
      <w:r>
        <w:rPr>
          <w:rFonts w:ascii="仿宋_GB2312" w:eastAsia="仿宋_GB2312"/>
          <w:sz w:val="32"/>
          <w:szCs w:val="32"/>
        </w:rPr>
        <w:t>群</w:t>
      </w:r>
      <w:r>
        <w:rPr>
          <w:rFonts w:hint="eastAsia" w:ascii="仿宋_GB2312" w:eastAsia="仿宋_GB2312"/>
          <w:sz w:val="32"/>
          <w:szCs w:val="32"/>
        </w:rPr>
        <w:t>曝光</w:t>
      </w:r>
      <w:r>
        <w:rPr>
          <w:rFonts w:ascii="仿宋_GB2312" w:eastAsia="仿宋_GB2312"/>
          <w:sz w:val="32"/>
          <w:szCs w:val="32"/>
        </w:rPr>
        <w:t>晾晒</w:t>
      </w:r>
      <w:r>
        <w:rPr>
          <w:rFonts w:hint="eastAsia" w:ascii="仿宋_GB2312" w:eastAsia="仿宋_GB2312"/>
          <w:sz w:val="32"/>
          <w:szCs w:val="32"/>
        </w:rPr>
        <w:t>、</w:t>
      </w:r>
      <w:r>
        <w:rPr>
          <w:rFonts w:hint="eastAsia" w:eastAsia="仿宋_GB2312"/>
          <w:sz w:val="32"/>
          <w:szCs w:val="32"/>
        </w:rPr>
        <w:t>行政约谈警示、限期整改告知等</w:t>
      </w:r>
      <w:r>
        <w:rPr>
          <w:rFonts w:eastAsia="仿宋_GB2312"/>
          <w:sz w:val="32"/>
          <w:szCs w:val="32"/>
        </w:rPr>
        <w:t>手段</w:t>
      </w:r>
      <w:r>
        <w:rPr>
          <w:rFonts w:hint="eastAsia" w:eastAsia="仿宋_GB2312"/>
          <w:sz w:val="32"/>
          <w:szCs w:val="32"/>
        </w:rPr>
        <w:t>健全和</w:t>
      </w:r>
      <w:r>
        <w:rPr>
          <w:rFonts w:eastAsia="仿宋_GB2312"/>
          <w:sz w:val="32"/>
          <w:szCs w:val="32"/>
        </w:rPr>
        <w:t>创新管理</w:t>
      </w:r>
      <w:r>
        <w:rPr>
          <w:rFonts w:hint="eastAsia" w:eastAsia="仿宋_GB2312"/>
          <w:sz w:val="32"/>
          <w:szCs w:val="32"/>
        </w:rPr>
        <w:t>手段</w:t>
      </w:r>
      <w:r>
        <w:rPr>
          <w:rFonts w:eastAsia="仿宋_GB2312"/>
          <w:sz w:val="32"/>
          <w:szCs w:val="32"/>
        </w:rPr>
        <w:t>。</w:t>
      </w:r>
      <w:r>
        <w:rPr>
          <w:rFonts w:hint="eastAsia" w:ascii="仿宋_GB2312" w:eastAsia="仿宋_GB2312"/>
          <w:sz w:val="32"/>
          <w:szCs w:val="32"/>
        </w:rPr>
        <w:t>（4月-12月）</w:t>
      </w:r>
    </w:p>
    <w:p>
      <w:pPr>
        <w:spacing w:line="560" w:lineRule="exact"/>
        <w:ind w:firstLine="643" w:firstLineChars="200"/>
        <w:rPr>
          <w:rFonts w:ascii="仿宋_GB2312" w:eastAsia="仿宋_GB2312"/>
          <w:color w:val="0000FF"/>
          <w:sz w:val="32"/>
          <w:szCs w:val="32"/>
        </w:rPr>
      </w:pPr>
      <w:r>
        <w:rPr>
          <w:rFonts w:hint="eastAsia" w:eastAsia="仿宋_GB2312"/>
          <w:b/>
          <w:sz w:val="32"/>
          <w:szCs w:val="32"/>
        </w:rPr>
        <w:t>（三）考核</w:t>
      </w:r>
      <w:r>
        <w:rPr>
          <w:rFonts w:eastAsia="仿宋_GB2312"/>
          <w:b/>
          <w:sz w:val="32"/>
          <w:szCs w:val="32"/>
        </w:rPr>
        <w:t>评比，</w:t>
      </w:r>
      <w:r>
        <w:rPr>
          <w:rFonts w:hint="eastAsia" w:eastAsia="仿宋_GB2312"/>
          <w:b/>
          <w:sz w:val="32"/>
          <w:szCs w:val="32"/>
        </w:rPr>
        <w:t>加大</w:t>
      </w:r>
      <w:r>
        <w:rPr>
          <w:rFonts w:eastAsia="仿宋_GB2312"/>
          <w:b/>
          <w:sz w:val="32"/>
          <w:szCs w:val="32"/>
        </w:rPr>
        <w:t>督查力度。</w:t>
      </w:r>
      <w:r>
        <w:rPr>
          <w:rFonts w:hint="eastAsia" w:eastAsia="仿宋_GB2312"/>
          <w:sz w:val="32"/>
          <w:szCs w:val="32"/>
        </w:rPr>
        <w:t>组织相关部门和人员力量，通过视频监控、信息采集员事部件采集和实地检查等方式，自4月份起，对商铺落实环境卫生责任区制度情况进行每月测评，并结合考评办法，每月评定列入“红榜”、“黑榜”的商铺名单，并于道路两端挂牌公示测评情况。（4月-12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、工作要求</w:t>
      </w:r>
    </w:p>
    <w:p>
      <w:pPr>
        <w:spacing w:line="560" w:lineRule="exact"/>
        <w:ind w:firstLine="643" w:firstLineChars="200"/>
        <w:rPr>
          <w:rFonts w:eastAsia="仿宋_GB2312"/>
          <w:b/>
          <w:sz w:val="32"/>
          <w:szCs w:val="32"/>
        </w:rPr>
      </w:pPr>
      <w:r>
        <w:rPr>
          <w:rFonts w:hint="eastAsia" w:eastAsia="仿宋_GB2312"/>
          <w:b/>
          <w:sz w:val="32"/>
          <w:szCs w:val="32"/>
        </w:rPr>
        <w:t>（一）压实责任，实时联动。构建完善的环境卫生责任区综合管理网格，建立由职能单位、乡镇、社区组成的三级管理体系，切实抓好责任区管理制度深化落实工作。</w:t>
      </w:r>
      <w:r>
        <w:rPr>
          <w:rFonts w:hint="eastAsia" w:eastAsia="仿宋_GB2312"/>
          <w:sz w:val="32"/>
          <w:szCs w:val="32"/>
        </w:rPr>
        <w:t>建立以网格</w:t>
      </w:r>
      <w:r>
        <w:rPr>
          <w:rFonts w:hint="eastAsia" w:ascii="仿宋_GB2312" w:eastAsia="仿宋_GB2312"/>
          <w:sz w:val="32"/>
          <w:szCs w:val="32"/>
        </w:rPr>
        <w:t>化管理为核心的精细化管理模式，通过现场巡查及智能发现相结合的模式，强化责任落实，提高问题应对处置效率，提升城市管理精细化水平</w:t>
      </w:r>
      <w:r>
        <w:rPr>
          <w:rFonts w:eastAsia="仿宋_GB2312"/>
          <w:sz w:val="32"/>
          <w:szCs w:val="32"/>
        </w:rPr>
        <w:t>。</w:t>
      </w:r>
      <w:r>
        <w:rPr>
          <w:rFonts w:eastAsia="仿宋_GB2312"/>
          <w:b/>
          <w:sz w:val="32"/>
          <w:szCs w:val="32"/>
        </w:rPr>
        <w:t xml:space="preserve"> </w:t>
      </w:r>
    </w:p>
    <w:p>
      <w:pPr>
        <w:spacing w:line="560" w:lineRule="exact"/>
        <w:ind w:firstLine="643" w:firstLineChars="200"/>
        <w:rPr>
          <w:rFonts w:eastAsia="仿宋_GB2312"/>
          <w:sz w:val="32"/>
          <w:szCs w:val="32"/>
        </w:rPr>
      </w:pPr>
      <w:r>
        <w:rPr>
          <w:rFonts w:hint="eastAsia" w:eastAsia="仿宋_GB2312"/>
          <w:b/>
          <w:sz w:val="32"/>
          <w:szCs w:val="32"/>
        </w:rPr>
        <w:t>（二）注重交流，营造范围。</w:t>
      </w:r>
      <w:r>
        <w:rPr>
          <w:rFonts w:hint="eastAsia" w:eastAsia="仿宋_GB2312"/>
          <w:sz w:val="32"/>
          <w:szCs w:val="32"/>
        </w:rPr>
        <w:t>以深入推进城市网格化管理为抓手，发动网格管理人员进店入铺、访区问户，与环境</w:t>
      </w:r>
      <w:r>
        <w:rPr>
          <w:rFonts w:eastAsia="仿宋_GB2312"/>
          <w:sz w:val="32"/>
          <w:szCs w:val="32"/>
        </w:rPr>
        <w:t>卫生责任区</w:t>
      </w:r>
      <w:r>
        <w:rPr>
          <w:rFonts w:hint="eastAsia" w:eastAsia="仿宋_GB2312"/>
          <w:sz w:val="32"/>
          <w:szCs w:val="32"/>
        </w:rPr>
        <w:t>责任人展开一对一、面对面的交流活动，引导做好制度执行和落实工作。利用网络载体，加强专群互动，</w:t>
      </w:r>
      <w:r>
        <w:rPr>
          <w:rFonts w:eastAsia="仿宋_GB2312"/>
          <w:sz w:val="32"/>
          <w:szCs w:val="32"/>
        </w:rPr>
        <w:t>通过电视、报纸、互联网及发放倡议书等各种形式和渠道</w:t>
      </w:r>
      <w:r>
        <w:rPr>
          <w:rFonts w:hint="eastAsia" w:eastAsia="仿宋_GB2312"/>
          <w:sz w:val="32"/>
          <w:szCs w:val="32"/>
        </w:rPr>
        <w:t>，调动责任</w:t>
      </w:r>
      <w:r>
        <w:rPr>
          <w:rFonts w:eastAsia="仿宋_GB2312"/>
          <w:sz w:val="32"/>
          <w:szCs w:val="32"/>
        </w:rPr>
        <w:t>人及</w:t>
      </w:r>
      <w:r>
        <w:rPr>
          <w:rFonts w:hint="eastAsia" w:eastAsia="仿宋_GB2312"/>
          <w:sz w:val="32"/>
          <w:szCs w:val="32"/>
        </w:rPr>
        <w:t>社会各界的“主人翁意识”，激发参与城市管理的热忱，实现城市共治共享的工作目标。</w:t>
      </w:r>
    </w:p>
    <w:p>
      <w:pPr>
        <w:spacing w:line="560" w:lineRule="exact"/>
        <w:ind w:firstLine="643" w:firstLineChars="200"/>
        <w:rPr>
          <w:rFonts w:ascii="仿宋_GB2312" w:eastAsia="仿宋_GB2312"/>
          <w:sz w:val="32"/>
          <w:szCs w:val="32"/>
        </w:rPr>
      </w:pPr>
      <w:r>
        <w:rPr>
          <w:rFonts w:hint="eastAsia" w:eastAsia="仿宋_GB2312"/>
          <w:b/>
          <w:sz w:val="32"/>
          <w:szCs w:val="32"/>
        </w:rPr>
        <w:t>（三）强化</w:t>
      </w:r>
      <w:r>
        <w:rPr>
          <w:rFonts w:eastAsia="仿宋_GB2312"/>
          <w:b/>
          <w:sz w:val="32"/>
          <w:szCs w:val="32"/>
        </w:rPr>
        <w:t>管理，</w:t>
      </w:r>
      <w:r>
        <w:rPr>
          <w:rFonts w:hint="eastAsia" w:eastAsia="仿宋_GB2312"/>
          <w:b/>
          <w:sz w:val="32"/>
          <w:szCs w:val="32"/>
        </w:rPr>
        <w:t>严格</w:t>
      </w:r>
      <w:r>
        <w:rPr>
          <w:rFonts w:eastAsia="仿宋_GB2312"/>
          <w:b/>
          <w:sz w:val="32"/>
          <w:szCs w:val="32"/>
        </w:rPr>
        <w:t>执法。</w:t>
      </w:r>
      <w:r>
        <w:rPr>
          <w:rFonts w:hint="eastAsia" w:eastAsia="仿宋_GB2312"/>
          <w:sz w:val="32"/>
          <w:szCs w:val="32"/>
        </w:rPr>
        <w:t>运用行政执法手段，倒逼制度落地生根，对照环境</w:t>
      </w:r>
      <w:r>
        <w:rPr>
          <w:rFonts w:eastAsia="仿宋_GB2312"/>
          <w:sz w:val="32"/>
          <w:szCs w:val="32"/>
        </w:rPr>
        <w:t>卫生责任区</w:t>
      </w:r>
      <w:r>
        <w:rPr>
          <w:rFonts w:hint="eastAsia" w:eastAsia="仿宋_GB2312"/>
          <w:sz w:val="32"/>
          <w:szCs w:val="32"/>
        </w:rPr>
        <w:t>管理的相关要求，加强日常监管，发现问题，及时纠正，保障环境</w:t>
      </w:r>
      <w:r>
        <w:rPr>
          <w:rFonts w:eastAsia="仿宋_GB2312"/>
          <w:sz w:val="32"/>
          <w:szCs w:val="32"/>
        </w:rPr>
        <w:t>卫生责任区</w:t>
      </w:r>
      <w:r>
        <w:rPr>
          <w:rFonts w:hint="eastAsia" w:eastAsia="仿宋_GB2312"/>
          <w:sz w:val="32"/>
          <w:szCs w:val="32"/>
        </w:rPr>
        <w:t>秩序良好、环境整洁，在任何时候都不走形、不变样。对不配合</w:t>
      </w:r>
      <w:r>
        <w:rPr>
          <w:rFonts w:eastAsia="仿宋_GB2312"/>
          <w:sz w:val="32"/>
          <w:szCs w:val="32"/>
        </w:rPr>
        <w:t>制度执行或拒不整改的，</w:t>
      </w:r>
      <w:r>
        <w:rPr>
          <w:rFonts w:hint="eastAsia" w:eastAsia="仿宋_GB2312"/>
          <w:sz w:val="32"/>
          <w:szCs w:val="32"/>
        </w:rPr>
        <w:t>做到露头就打，并列入监管“黑名单”，实行重点管治，</w:t>
      </w:r>
      <w:r>
        <w:rPr>
          <w:rFonts w:hint="eastAsia" w:ascii="仿宋_GB2312" w:eastAsia="仿宋_GB2312"/>
          <w:sz w:val="32"/>
          <w:szCs w:val="32"/>
        </w:rPr>
        <w:t>确保治见成效、管见长效。</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sz w:val="32"/>
          <w:szCs w:val="32"/>
        </w:rPr>
        <w:t>附件4-1</w:t>
      </w:r>
      <w:r>
        <w:rPr>
          <w:rFonts w:ascii="仿宋_GB2312" w:eastAsia="仿宋_GB2312"/>
          <w:sz w:val="32"/>
          <w:szCs w:val="32"/>
        </w:rPr>
        <w:t>：岱山县</w:t>
      </w:r>
      <w:r>
        <w:rPr>
          <w:rFonts w:hint="eastAsia" w:ascii="仿宋_GB2312" w:eastAsia="仿宋_GB2312"/>
          <w:sz w:val="32"/>
          <w:szCs w:val="32"/>
        </w:rPr>
        <w:t>环境卫生责任区（门前四包）示范街考核</w:t>
      </w:r>
      <w:r>
        <w:rPr>
          <w:rFonts w:ascii="仿宋_GB2312" w:eastAsia="仿宋_GB2312"/>
          <w:sz w:val="32"/>
          <w:szCs w:val="32"/>
        </w:rPr>
        <w:t>评分办法</w:t>
      </w:r>
    </w:p>
    <w:p>
      <w:pPr>
        <w:spacing w:line="560" w:lineRule="exact"/>
        <w:jc w:val="left"/>
        <w:rPr>
          <w:rFonts w:hint="eastAsia"/>
          <w:b/>
          <w:bCs/>
          <w:sz w:val="44"/>
          <w:szCs w:val="52"/>
        </w:rPr>
      </w:pPr>
      <w:r>
        <w:rPr>
          <w:rFonts w:hint="eastAsia" w:ascii="仿宋_GB2312" w:eastAsia="仿宋_GB2312"/>
          <w:sz w:val="32"/>
          <w:szCs w:val="32"/>
        </w:rPr>
        <w:t>附件4-1</w:t>
      </w:r>
    </w:p>
    <w:p>
      <w:pPr>
        <w:spacing w:line="560" w:lineRule="exact"/>
        <w:jc w:val="center"/>
        <w:rPr>
          <w:b/>
          <w:bCs/>
          <w:sz w:val="32"/>
          <w:szCs w:val="32"/>
        </w:rPr>
      </w:pPr>
      <w:r>
        <w:rPr>
          <w:rFonts w:hint="eastAsia"/>
          <w:b/>
          <w:bCs/>
          <w:sz w:val="32"/>
          <w:szCs w:val="32"/>
        </w:rPr>
        <w:t>岱山县环境卫生责任区（门前四包）示范街考核</w:t>
      </w:r>
      <w:r>
        <w:rPr>
          <w:b/>
          <w:bCs/>
          <w:sz w:val="32"/>
          <w:szCs w:val="32"/>
        </w:rPr>
        <w:t>评分办法</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7189"/>
        <w:gridCol w:w="492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215" w:type="dxa"/>
            <w:vAlign w:val="center"/>
          </w:tcPr>
          <w:p>
            <w:pPr>
              <w:spacing w:line="320" w:lineRule="exact"/>
              <w:jc w:val="center"/>
              <w:rPr>
                <w:b/>
                <w:sz w:val="24"/>
              </w:rPr>
            </w:pPr>
            <w:r>
              <w:rPr>
                <w:rFonts w:hint="eastAsia"/>
                <w:b/>
                <w:sz w:val="24"/>
              </w:rPr>
              <w:t>项目</w:t>
            </w:r>
          </w:p>
        </w:tc>
        <w:tc>
          <w:tcPr>
            <w:tcW w:w="7221" w:type="dxa"/>
            <w:vAlign w:val="center"/>
          </w:tcPr>
          <w:p>
            <w:pPr>
              <w:spacing w:line="320" w:lineRule="exact"/>
              <w:jc w:val="center"/>
              <w:rPr>
                <w:b/>
                <w:sz w:val="24"/>
              </w:rPr>
            </w:pPr>
            <w:r>
              <w:rPr>
                <w:rFonts w:hint="eastAsia"/>
                <w:b/>
                <w:sz w:val="24"/>
              </w:rPr>
              <w:t>环境卫生责任区范围内考评内容</w:t>
            </w:r>
          </w:p>
        </w:tc>
        <w:tc>
          <w:tcPr>
            <w:tcW w:w="4944" w:type="dxa"/>
            <w:vAlign w:val="center"/>
          </w:tcPr>
          <w:p>
            <w:pPr>
              <w:spacing w:line="320" w:lineRule="exact"/>
              <w:jc w:val="center"/>
              <w:rPr>
                <w:b/>
                <w:sz w:val="24"/>
              </w:rPr>
            </w:pPr>
            <w:r>
              <w:rPr>
                <w:rFonts w:hint="eastAsia"/>
                <w:b/>
                <w:sz w:val="24"/>
              </w:rPr>
              <w:t>扣分标准</w:t>
            </w:r>
          </w:p>
        </w:tc>
        <w:tc>
          <w:tcPr>
            <w:tcW w:w="852" w:type="dxa"/>
            <w:vAlign w:val="center"/>
          </w:tcPr>
          <w:p>
            <w:pPr>
              <w:spacing w:line="320" w:lineRule="exact"/>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215" w:type="dxa"/>
            <w:vAlign w:val="center"/>
          </w:tcPr>
          <w:p>
            <w:pPr>
              <w:spacing w:line="240" w:lineRule="exact"/>
              <w:jc w:val="center"/>
              <w:rPr>
                <w:b/>
                <w:sz w:val="22"/>
              </w:rPr>
            </w:pPr>
            <w:r>
              <w:rPr>
                <w:rFonts w:hint="eastAsia"/>
                <w:b/>
                <w:sz w:val="22"/>
              </w:rPr>
              <w:t>责任</w:t>
            </w:r>
            <w:r>
              <w:rPr>
                <w:b/>
                <w:sz w:val="22"/>
              </w:rPr>
              <w:t>告知（</w:t>
            </w:r>
            <w:r>
              <w:rPr>
                <w:rFonts w:hint="eastAsia"/>
                <w:b/>
                <w:sz w:val="22"/>
              </w:rPr>
              <w:t>10分</w:t>
            </w:r>
            <w:r>
              <w:rPr>
                <w:b/>
                <w:sz w:val="22"/>
              </w:rPr>
              <w:t>）</w:t>
            </w:r>
          </w:p>
        </w:tc>
        <w:tc>
          <w:tcPr>
            <w:tcW w:w="7221" w:type="dxa"/>
            <w:vAlign w:val="center"/>
          </w:tcPr>
          <w:p>
            <w:pPr>
              <w:spacing w:line="240" w:lineRule="exact"/>
              <w:rPr>
                <w:b/>
                <w:sz w:val="22"/>
              </w:rPr>
            </w:pPr>
            <w:r>
              <w:rPr>
                <w:rFonts w:hint="eastAsia"/>
                <w:sz w:val="22"/>
                <w:szCs w:val="32"/>
              </w:rPr>
              <w:t>环境卫生责任区的具体范围和责任要求向责任人书面告知到位，内容</w:t>
            </w:r>
            <w:r>
              <w:rPr>
                <w:sz w:val="22"/>
                <w:szCs w:val="32"/>
              </w:rPr>
              <w:t>明确，制度上墙，显著位置张贴（</w:t>
            </w:r>
            <w:r>
              <w:rPr>
                <w:rFonts w:hint="eastAsia"/>
                <w:sz w:val="22"/>
                <w:szCs w:val="32"/>
              </w:rPr>
              <w:t>10分</w:t>
            </w:r>
            <w:r>
              <w:rPr>
                <w:sz w:val="22"/>
                <w:szCs w:val="32"/>
              </w:rPr>
              <w:t>）</w:t>
            </w:r>
          </w:p>
        </w:tc>
        <w:tc>
          <w:tcPr>
            <w:tcW w:w="4944" w:type="dxa"/>
            <w:vAlign w:val="center"/>
          </w:tcPr>
          <w:p>
            <w:pPr>
              <w:spacing w:line="240" w:lineRule="exact"/>
              <w:rPr>
                <w:sz w:val="22"/>
                <w:szCs w:val="32"/>
              </w:rPr>
            </w:pPr>
            <w:r>
              <w:rPr>
                <w:rFonts w:hint="eastAsia"/>
                <w:sz w:val="22"/>
                <w:szCs w:val="32"/>
              </w:rPr>
              <w:t>1.未张贴责任区责任告知书，扣10分。</w:t>
            </w:r>
          </w:p>
          <w:p>
            <w:pPr>
              <w:spacing w:line="240" w:lineRule="exact"/>
              <w:rPr>
                <w:sz w:val="22"/>
                <w:szCs w:val="32"/>
              </w:rPr>
            </w:pPr>
            <w:r>
              <w:rPr>
                <w:rFonts w:hint="eastAsia"/>
                <w:sz w:val="22"/>
                <w:szCs w:val="32"/>
              </w:rPr>
              <w:t>2.责任区具体范围未填写扣5分。</w:t>
            </w:r>
          </w:p>
          <w:p>
            <w:pPr>
              <w:spacing w:line="240" w:lineRule="exact"/>
              <w:rPr>
                <w:sz w:val="22"/>
                <w:szCs w:val="32"/>
              </w:rPr>
            </w:pPr>
            <w:r>
              <w:rPr>
                <w:rFonts w:hint="eastAsia"/>
                <w:sz w:val="22"/>
                <w:szCs w:val="32"/>
              </w:rPr>
              <w:t>3.无路段长姓名联系电话扣3分，无智慧城管24小时投诉电话扣2分。</w:t>
            </w:r>
          </w:p>
        </w:tc>
        <w:tc>
          <w:tcPr>
            <w:tcW w:w="852" w:type="dxa"/>
            <w:vAlign w:val="center"/>
          </w:tcPr>
          <w:p>
            <w:pPr>
              <w:spacing w:line="240" w:lineRule="exact"/>
              <w:jc w:val="center"/>
              <w:rPr>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vAlign w:val="center"/>
          </w:tcPr>
          <w:p>
            <w:pPr>
              <w:spacing w:line="240" w:lineRule="exact"/>
              <w:jc w:val="center"/>
              <w:rPr>
                <w:b/>
                <w:sz w:val="22"/>
                <w:szCs w:val="32"/>
              </w:rPr>
            </w:pPr>
            <w:r>
              <w:rPr>
                <w:rFonts w:hint="eastAsia"/>
                <w:b/>
                <w:sz w:val="22"/>
                <w:szCs w:val="32"/>
              </w:rPr>
              <w:t>环境卫生（20分）</w:t>
            </w:r>
          </w:p>
        </w:tc>
        <w:tc>
          <w:tcPr>
            <w:tcW w:w="7221" w:type="dxa"/>
            <w:vAlign w:val="center"/>
          </w:tcPr>
          <w:p>
            <w:pPr>
              <w:spacing w:line="240" w:lineRule="exact"/>
              <w:rPr>
                <w:sz w:val="22"/>
                <w:szCs w:val="32"/>
              </w:rPr>
            </w:pPr>
            <w:r>
              <w:rPr>
                <w:rFonts w:hint="eastAsia"/>
                <w:sz w:val="22"/>
                <w:szCs w:val="32"/>
              </w:rPr>
              <w:t>做好环卫保洁工作，室内配置垃圾桶，做到垃圾不出门（7分）</w:t>
            </w:r>
          </w:p>
        </w:tc>
        <w:tc>
          <w:tcPr>
            <w:tcW w:w="4944" w:type="dxa"/>
            <w:vAlign w:val="center"/>
          </w:tcPr>
          <w:p>
            <w:pPr>
              <w:spacing w:line="240" w:lineRule="exact"/>
              <w:rPr>
                <w:sz w:val="22"/>
                <w:szCs w:val="32"/>
              </w:rPr>
            </w:pPr>
            <w:r>
              <w:rPr>
                <w:rFonts w:hint="eastAsia"/>
                <w:sz w:val="22"/>
                <w:szCs w:val="32"/>
              </w:rPr>
              <w:t>发现一处问题扣0.5分</w:t>
            </w:r>
          </w:p>
        </w:tc>
        <w:tc>
          <w:tcPr>
            <w:tcW w:w="852" w:type="dxa"/>
            <w:vMerge w:val="restart"/>
          </w:tcPr>
          <w:p>
            <w:pPr>
              <w:spacing w:line="2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vAlign w:val="center"/>
          </w:tcPr>
          <w:p>
            <w:pPr>
              <w:spacing w:line="240" w:lineRule="exact"/>
              <w:jc w:val="center"/>
              <w:rPr>
                <w:b/>
                <w:sz w:val="22"/>
                <w:szCs w:val="32"/>
              </w:rPr>
            </w:pPr>
          </w:p>
        </w:tc>
        <w:tc>
          <w:tcPr>
            <w:tcW w:w="7221" w:type="dxa"/>
            <w:vAlign w:val="center"/>
          </w:tcPr>
          <w:p>
            <w:pPr>
              <w:spacing w:line="240" w:lineRule="exact"/>
              <w:rPr>
                <w:sz w:val="22"/>
                <w:szCs w:val="32"/>
              </w:rPr>
            </w:pPr>
            <w:r>
              <w:rPr>
                <w:rFonts w:hint="eastAsia"/>
                <w:sz w:val="22"/>
                <w:szCs w:val="32"/>
              </w:rPr>
              <w:t>无痰迹、污物、废弃物、乱张贴、乱刻画、乱涂写、乱便溺、污水乱流等现象（6分）</w:t>
            </w:r>
          </w:p>
        </w:tc>
        <w:tc>
          <w:tcPr>
            <w:tcW w:w="4944" w:type="dxa"/>
            <w:vAlign w:val="center"/>
          </w:tcPr>
          <w:p>
            <w:pPr>
              <w:spacing w:line="240" w:lineRule="exact"/>
              <w:rPr>
                <w:sz w:val="22"/>
                <w:szCs w:val="32"/>
              </w:rPr>
            </w:pPr>
            <w:r>
              <w:rPr>
                <w:rFonts w:hint="eastAsia"/>
                <w:sz w:val="22"/>
                <w:szCs w:val="32"/>
              </w:rPr>
              <w:t>发现一处问题扣0.5分</w:t>
            </w:r>
          </w:p>
        </w:tc>
        <w:tc>
          <w:tcPr>
            <w:tcW w:w="852" w:type="dxa"/>
            <w:vMerge w:val="continue"/>
          </w:tcPr>
          <w:p>
            <w:pPr>
              <w:spacing w:line="2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15" w:type="dxa"/>
            <w:vMerge w:val="continue"/>
            <w:vAlign w:val="center"/>
          </w:tcPr>
          <w:p>
            <w:pPr>
              <w:spacing w:line="240" w:lineRule="exact"/>
              <w:jc w:val="center"/>
              <w:rPr>
                <w:b/>
                <w:sz w:val="22"/>
                <w:szCs w:val="32"/>
              </w:rPr>
            </w:pPr>
          </w:p>
        </w:tc>
        <w:tc>
          <w:tcPr>
            <w:tcW w:w="7221" w:type="dxa"/>
            <w:vAlign w:val="center"/>
          </w:tcPr>
          <w:p>
            <w:pPr>
              <w:spacing w:line="240" w:lineRule="exact"/>
              <w:rPr>
                <w:sz w:val="22"/>
                <w:szCs w:val="32"/>
              </w:rPr>
            </w:pPr>
            <w:r>
              <w:rPr>
                <w:rFonts w:hint="eastAsia"/>
                <w:sz w:val="22"/>
                <w:szCs w:val="32"/>
              </w:rPr>
              <w:t>按规定实行生活垃圾分类投放（7分）</w:t>
            </w:r>
          </w:p>
        </w:tc>
        <w:tc>
          <w:tcPr>
            <w:tcW w:w="4944" w:type="dxa"/>
            <w:vAlign w:val="center"/>
          </w:tcPr>
          <w:p>
            <w:pPr>
              <w:spacing w:line="240" w:lineRule="exact"/>
              <w:rPr>
                <w:sz w:val="22"/>
                <w:szCs w:val="32"/>
              </w:rPr>
            </w:pPr>
            <w:r>
              <w:rPr>
                <w:rFonts w:hint="eastAsia"/>
                <w:sz w:val="22"/>
                <w:szCs w:val="32"/>
              </w:rPr>
              <w:t>发现一处问题扣0.5分</w:t>
            </w:r>
          </w:p>
        </w:tc>
        <w:tc>
          <w:tcPr>
            <w:tcW w:w="852" w:type="dxa"/>
            <w:vMerge w:val="continue"/>
          </w:tcPr>
          <w:p>
            <w:pPr>
              <w:spacing w:line="2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vAlign w:val="center"/>
          </w:tcPr>
          <w:p>
            <w:pPr>
              <w:spacing w:line="240" w:lineRule="exact"/>
              <w:jc w:val="center"/>
              <w:rPr>
                <w:b/>
                <w:sz w:val="22"/>
                <w:szCs w:val="32"/>
              </w:rPr>
            </w:pPr>
            <w:r>
              <w:rPr>
                <w:rFonts w:hint="eastAsia"/>
                <w:b/>
                <w:sz w:val="22"/>
                <w:szCs w:val="32"/>
              </w:rPr>
              <w:t>市容市貌（25分）</w:t>
            </w:r>
          </w:p>
        </w:tc>
        <w:tc>
          <w:tcPr>
            <w:tcW w:w="7221" w:type="dxa"/>
            <w:vAlign w:val="center"/>
          </w:tcPr>
          <w:p>
            <w:pPr>
              <w:spacing w:line="240" w:lineRule="exact"/>
              <w:rPr>
                <w:sz w:val="22"/>
                <w:szCs w:val="32"/>
              </w:rPr>
            </w:pPr>
            <w:r>
              <w:rPr>
                <w:rFonts w:hint="eastAsia"/>
                <w:sz w:val="22"/>
                <w:szCs w:val="32"/>
              </w:rPr>
              <w:t>建筑物、构筑物和其他设施整洁、完好、美观、不乱吊乱挂（7分）</w:t>
            </w:r>
          </w:p>
        </w:tc>
        <w:tc>
          <w:tcPr>
            <w:tcW w:w="4944" w:type="dxa"/>
            <w:vAlign w:val="center"/>
          </w:tcPr>
          <w:p>
            <w:pPr>
              <w:spacing w:line="240" w:lineRule="exact"/>
              <w:rPr>
                <w:sz w:val="22"/>
                <w:szCs w:val="32"/>
              </w:rPr>
            </w:pPr>
            <w:r>
              <w:rPr>
                <w:rFonts w:hint="eastAsia"/>
                <w:sz w:val="22"/>
                <w:szCs w:val="32"/>
              </w:rPr>
              <w:t>发现一处问题扣0.5分</w:t>
            </w:r>
          </w:p>
        </w:tc>
        <w:tc>
          <w:tcPr>
            <w:tcW w:w="852" w:type="dxa"/>
            <w:vMerge w:val="restart"/>
          </w:tcPr>
          <w:p>
            <w:pPr>
              <w:spacing w:line="2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vAlign w:val="center"/>
          </w:tcPr>
          <w:p>
            <w:pPr>
              <w:spacing w:line="240" w:lineRule="exact"/>
              <w:jc w:val="center"/>
              <w:rPr>
                <w:b/>
                <w:sz w:val="22"/>
                <w:szCs w:val="32"/>
              </w:rPr>
            </w:pPr>
          </w:p>
        </w:tc>
        <w:tc>
          <w:tcPr>
            <w:tcW w:w="7221" w:type="dxa"/>
            <w:vAlign w:val="center"/>
          </w:tcPr>
          <w:p>
            <w:pPr>
              <w:spacing w:line="240" w:lineRule="exact"/>
              <w:rPr>
                <w:sz w:val="22"/>
                <w:szCs w:val="32"/>
              </w:rPr>
            </w:pPr>
            <w:r>
              <w:rPr>
                <w:rFonts w:hint="eastAsia"/>
                <w:sz w:val="22"/>
                <w:szCs w:val="32"/>
              </w:rPr>
              <w:t>门楼牌匾、店招店牌等户外设施按照依法批准的要求设置，灯光设施完好，脏污、破损、残缺及时清洁和修复（7分）</w:t>
            </w:r>
          </w:p>
        </w:tc>
        <w:tc>
          <w:tcPr>
            <w:tcW w:w="4944" w:type="dxa"/>
            <w:vAlign w:val="center"/>
          </w:tcPr>
          <w:p>
            <w:pPr>
              <w:spacing w:line="240" w:lineRule="exact"/>
              <w:rPr>
                <w:sz w:val="22"/>
                <w:szCs w:val="32"/>
              </w:rPr>
            </w:pPr>
            <w:r>
              <w:rPr>
                <w:rFonts w:hint="eastAsia"/>
                <w:sz w:val="22"/>
                <w:szCs w:val="32"/>
              </w:rPr>
              <w:t>发现一处问题扣0.5分</w:t>
            </w:r>
          </w:p>
        </w:tc>
        <w:tc>
          <w:tcPr>
            <w:tcW w:w="852" w:type="dxa"/>
            <w:vMerge w:val="continue"/>
          </w:tcPr>
          <w:p>
            <w:pPr>
              <w:spacing w:line="2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vAlign w:val="center"/>
          </w:tcPr>
          <w:p>
            <w:pPr>
              <w:spacing w:line="240" w:lineRule="exact"/>
              <w:jc w:val="center"/>
              <w:rPr>
                <w:b/>
                <w:sz w:val="22"/>
                <w:szCs w:val="32"/>
              </w:rPr>
            </w:pPr>
          </w:p>
        </w:tc>
        <w:tc>
          <w:tcPr>
            <w:tcW w:w="7221" w:type="dxa"/>
            <w:vAlign w:val="center"/>
          </w:tcPr>
          <w:p>
            <w:pPr>
              <w:spacing w:line="240" w:lineRule="exact"/>
              <w:rPr>
                <w:sz w:val="22"/>
                <w:szCs w:val="32"/>
              </w:rPr>
            </w:pPr>
            <w:r>
              <w:rPr>
                <w:rFonts w:hint="eastAsia"/>
                <w:sz w:val="22"/>
                <w:szCs w:val="32"/>
              </w:rPr>
              <w:t>不得擅自张挂布幅广告标语或设置气标、气柱、气拱门（5分）</w:t>
            </w:r>
          </w:p>
        </w:tc>
        <w:tc>
          <w:tcPr>
            <w:tcW w:w="4944" w:type="dxa"/>
            <w:vAlign w:val="center"/>
          </w:tcPr>
          <w:p>
            <w:pPr>
              <w:spacing w:line="240" w:lineRule="exact"/>
              <w:rPr>
                <w:sz w:val="22"/>
                <w:szCs w:val="32"/>
              </w:rPr>
            </w:pPr>
            <w:r>
              <w:rPr>
                <w:rFonts w:hint="eastAsia"/>
                <w:sz w:val="22"/>
                <w:szCs w:val="32"/>
              </w:rPr>
              <w:t>发现一处问题扣0.5分</w:t>
            </w:r>
          </w:p>
        </w:tc>
        <w:tc>
          <w:tcPr>
            <w:tcW w:w="852" w:type="dxa"/>
            <w:vMerge w:val="continue"/>
          </w:tcPr>
          <w:p>
            <w:pPr>
              <w:spacing w:line="2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vAlign w:val="center"/>
          </w:tcPr>
          <w:p>
            <w:pPr>
              <w:spacing w:line="240" w:lineRule="exact"/>
              <w:jc w:val="center"/>
              <w:rPr>
                <w:b/>
                <w:sz w:val="22"/>
                <w:szCs w:val="32"/>
              </w:rPr>
            </w:pPr>
          </w:p>
        </w:tc>
        <w:tc>
          <w:tcPr>
            <w:tcW w:w="7221" w:type="dxa"/>
            <w:vAlign w:val="center"/>
          </w:tcPr>
          <w:p>
            <w:pPr>
              <w:spacing w:line="240" w:lineRule="exact"/>
              <w:rPr>
                <w:sz w:val="22"/>
                <w:szCs w:val="32"/>
              </w:rPr>
            </w:pPr>
            <w:r>
              <w:rPr>
                <w:rFonts w:hint="eastAsia"/>
                <w:sz w:val="22"/>
                <w:szCs w:val="32"/>
              </w:rPr>
              <w:t>空调外机安装符合要求，不敞排冷凝水（6分）</w:t>
            </w:r>
          </w:p>
        </w:tc>
        <w:tc>
          <w:tcPr>
            <w:tcW w:w="4944" w:type="dxa"/>
            <w:vAlign w:val="center"/>
          </w:tcPr>
          <w:p>
            <w:pPr>
              <w:spacing w:line="240" w:lineRule="exact"/>
              <w:rPr>
                <w:sz w:val="22"/>
                <w:szCs w:val="32"/>
              </w:rPr>
            </w:pPr>
            <w:r>
              <w:rPr>
                <w:rFonts w:hint="eastAsia"/>
                <w:sz w:val="22"/>
                <w:szCs w:val="32"/>
              </w:rPr>
              <w:t>发现一处问题扣1分</w:t>
            </w:r>
          </w:p>
        </w:tc>
        <w:tc>
          <w:tcPr>
            <w:tcW w:w="852" w:type="dxa"/>
            <w:vMerge w:val="continue"/>
          </w:tcPr>
          <w:p>
            <w:pPr>
              <w:spacing w:line="2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vAlign w:val="center"/>
          </w:tcPr>
          <w:p>
            <w:pPr>
              <w:spacing w:line="240" w:lineRule="exact"/>
              <w:jc w:val="center"/>
              <w:rPr>
                <w:b/>
                <w:sz w:val="22"/>
                <w:szCs w:val="32"/>
              </w:rPr>
            </w:pPr>
            <w:r>
              <w:rPr>
                <w:rFonts w:hint="eastAsia"/>
                <w:b/>
                <w:sz w:val="22"/>
                <w:szCs w:val="32"/>
              </w:rPr>
              <w:t>秩序维护（25分）</w:t>
            </w:r>
          </w:p>
        </w:tc>
        <w:tc>
          <w:tcPr>
            <w:tcW w:w="7221" w:type="dxa"/>
            <w:vAlign w:val="center"/>
          </w:tcPr>
          <w:p>
            <w:pPr>
              <w:spacing w:line="240" w:lineRule="exact"/>
              <w:rPr>
                <w:sz w:val="22"/>
                <w:szCs w:val="32"/>
              </w:rPr>
            </w:pPr>
            <w:r>
              <w:rPr>
                <w:rFonts w:hint="eastAsia"/>
                <w:sz w:val="22"/>
                <w:szCs w:val="32"/>
              </w:rPr>
              <w:t>不得超出门、窗进行户外经营、作业或展示商品（8分）</w:t>
            </w:r>
          </w:p>
        </w:tc>
        <w:tc>
          <w:tcPr>
            <w:tcW w:w="4944" w:type="dxa"/>
            <w:vAlign w:val="center"/>
          </w:tcPr>
          <w:p>
            <w:pPr>
              <w:spacing w:line="240" w:lineRule="exact"/>
              <w:rPr>
                <w:sz w:val="22"/>
                <w:szCs w:val="32"/>
              </w:rPr>
            </w:pPr>
            <w:r>
              <w:rPr>
                <w:rFonts w:hint="eastAsia"/>
                <w:sz w:val="22"/>
                <w:szCs w:val="32"/>
              </w:rPr>
              <w:t>发现一处问题扣0.5分</w:t>
            </w:r>
          </w:p>
        </w:tc>
        <w:tc>
          <w:tcPr>
            <w:tcW w:w="852" w:type="dxa"/>
            <w:vMerge w:val="restart"/>
          </w:tcPr>
          <w:p>
            <w:pPr>
              <w:spacing w:line="2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vAlign w:val="center"/>
          </w:tcPr>
          <w:p>
            <w:pPr>
              <w:spacing w:line="240" w:lineRule="exact"/>
              <w:jc w:val="center"/>
              <w:rPr>
                <w:b/>
                <w:sz w:val="22"/>
                <w:szCs w:val="32"/>
              </w:rPr>
            </w:pPr>
          </w:p>
        </w:tc>
        <w:tc>
          <w:tcPr>
            <w:tcW w:w="7221" w:type="dxa"/>
            <w:vAlign w:val="center"/>
          </w:tcPr>
          <w:p>
            <w:pPr>
              <w:spacing w:line="240" w:lineRule="exact"/>
              <w:rPr>
                <w:sz w:val="22"/>
                <w:szCs w:val="32"/>
              </w:rPr>
            </w:pPr>
            <w:r>
              <w:rPr>
                <w:rFonts w:hint="eastAsia"/>
                <w:sz w:val="22"/>
                <w:szCs w:val="32"/>
              </w:rPr>
              <w:t>不得用音箱及不雅行为招揽生意，门前不乱搭乱建、不乱堆杂物，不伸杆搭篷、放置广告牌匾和灯箱、</w:t>
            </w:r>
            <w:r>
              <w:rPr>
                <w:sz w:val="22"/>
                <w:szCs w:val="32"/>
              </w:rPr>
              <w:t>不乱设</w:t>
            </w:r>
            <w:r>
              <w:rPr>
                <w:rFonts w:hint="eastAsia"/>
                <w:sz w:val="22"/>
                <w:szCs w:val="32"/>
              </w:rPr>
              <w:t>路牌标识（7分）</w:t>
            </w:r>
          </w:p>
        </w:tc>
        <w:tc>
          <w:tcPr>
            <w:tcW w:w="4944" w:type="dxa"/>
            <w:vAlign w:val="center"/>
          </w:tcPr>
          <w:p>
            <w:pPr>
              <w:spacing w:line="240" w:lineRule="exact"/>
              <w:rPr>
                <w:sz w:val="22"/>
                <w:szCs w:val="32"/>
              </w:rPr>
            </w:pPr>
            <w:r>
              <w:rPr>
                <w:rFonts w:hint="eastAsia"/>
                <w:sz w:val="22"/>
                <w:szCs w:val="32"/>
              </w:rPr>
              <w:t>发现一处问题扣0.5分</w:t>
            </w:r>
          </w:p>
        </w:tc>
        <w:tc>
          <w:tcPr>
            <w:tcW w:w="852" w:type="dxa"/>
            <w:vMerge w:val="continue"/>
          </w:tcPr>
          <w:p>
            <w:pPr>
              <w:spacing w:line="2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vAlign w:val="center"/>
          </w:tcPr>
          <w:p>
            <w:pPr>
              <w:spacing w:line="240" w:lineRule="exact"/>
              <w:jc w:val="center"/>
              <w:rPr>
                <w:b/>
                <w:sz w:val="22"/>
                <w:szCs w:val="32"/>
              </w:rPr>
            </w:pPr>
          </w:p>
        </w:tc>
        <w:tc>
          <w:tcPr>
            <w:tcW w:w="7221" w:type="dxa"/>
            <w:vAlign w:val="center"/>
          </w:tcPr>
          <w:p>
            <w:pPr>
              <w:spacing w:line="240" w:lineRule="exact"/>
              <w:rPr>
                <w:sz w:val="22"/>
                <w:szCs w:val="32"/>
              </w:rPr>
            </w:pPr>
            <w:r>
              <w:rPr>
                <w:rFonts w:hint="eastAsia"/>
                <w:sz w:val="22"/>
                <w:szCs w:val="32"/>
              </w:rPr>
              <w:t>不在店门外摆设垃圾器皿、晾晒衣物、搭桌设座、棋牌娱乐、烹煮食物、用餐喝茶（5分）</w:t>
            </w:r>
          </w:p>
        </w:tc>
        <w:tc>
          <w:tcPr>
            <w:tcW w:w="4944" w:type="dxa"/>
            <w:vAlign w:val="center"/>
          </w:tcPr>
          <w:p>
            <w:pPr>
              <w:spacing w:line="240" w:lineRule="exact"/>
              <w:rPr>
                <w:sz w:val="22"/>
                <w:szCs w:val="32"/>
              </w:rPr>
            </w:pPr>
            <w:r>
              <w:rPr>
                <w:rFonts w:hint="eastAsia"/>
                <w:sz w:val="22"/>
                <w:szCs w:val="32"/>
              </w:rPr>
              <w:t>发现一处问题扣0.5分</w:t>
            </w:r>
          </w:p>
        </w:tc>
        <w:tc>
          <w:tcPr>
            <w:tcW w:w="852" w:type="dxa"/>
            <w:vMerge w:val="continue"/>
          </w:tcPr>
          <w:p>
            <w:pPr>
              <w:spacing w:line="2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vAlign w:val="center"/>
          </w:tcPr>
          <w:p>
            <w:pPr>
              <w:spacing w:line="240" w:lineRule="exact"/>
              <w:jc w:val="center"/>
              <w:rPr>
                <w:b/>
                <w:sz w:val="22"/>
                <w:szCs w:val="32"/>
              </w:rPr>
            </w:pPr>
          </w:p>
        </w:tc>
        <w:tc>
          <w:tcPr>
            <w:tcW w:w="7221" w:type="dxa"/>
            <w:vAlign w:val="center"/>
          </w:tcPr>
          <w:p>
            <w:pPr>
              <w:spacing w:line="240" w:lineRule="exact"/>
              <w:rPr>
                <w:sz w:val="22"/>
                <w:szCs w:val="32"/>
              </w:rPr>
            </w:pPr>
            <w:r>
              <w:rPr>
                <w:rFonts w:hint="eastAsia"/>
                <w:sz w:val="22"/>
                <w:szCs w:val="32"/>
              </w:rPr>
              <w:t>车辆按指定地点规范停放、朝向一致（5分）</w:t>
            </w:r>
          </w:p>
        </w:tc>
        <w:tc>
          <w:tcPr>
            <w:tcW w:w="4944" w:type="dxa"/>
            <w:vAlign w:val="center"/>
          </w:tcPr>
          <w:p>
            <w:pPr>
              <w:spacing w:line="240" w:lineRule="exact"/>
              <w:rPr>
                <w:sz w:val="22"/>
                <w:szCs w:val="32"/>
              </w:rPr>
            </w:pPr>
            <w:r>
              <w:rPr>
                <w:rFonts w:hint="eastAsia"/>
                <w:sz w:val="22"/>
                <w:szCs w:val="32"/>
              </w:rPr>
              <w:t>发现一处问题扣0.5分</w:t>
            </w:r>
          </w:p>
        </w:tc>
        <w:tc>
          <w:tcPr>
            <w:tcW w:w="852" w:type="dxa"/>
            <w:vMerge w:val="continue"/>
          </w:tcPr>
          <w:p>
            <w:pPr>
              <w:spacing w:line="2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restart"/>
            <w:vAlign w:val="center"/>
          </w:tcPr>
          <w:p>
            <w:pPr>
              <w:spacing w:line="240" w:lineRule="exact"/>
              <w:jc w:val="center"/>
              <w:rPr>
                <w:b/>
                <w:sz w:val="22"/>
                <w:szCs w:val="32"/>
              </w:rPr>
            </w:pPr>
            <w:r>
              <w:rPr>
                <w:rFonts w:hint="eastAsia"/>
                <w:b/>
                <w:sz w:val="22"/>
                <w:szCs w:val="32"/>
              </w:rPr>
              <w:t>绿化管理（20分）</w:t>
            </w:r>
          </w:p>
        </w:tc>
        <w:tc>
          <w:tcPr>
            <w:tcW w:w="7221" w:type="dxa"/>
            <w:vAlign w:val="center"/>
          </w:tcPr>
          <w:p>
            <w:pPr>
              <w:spacing w:line="240" w:lineRule="exact"/>
              <w:rPr>
                <w:sz w:val="22"/>
                <w:szCs w:val="32"/>
              </w:rPr>
            </w:pPr>
            <w:r>
              <w:rPr>
                <w:rFonts w:hint="eastAsia"/>
                <w:sz w:val="22"/>
                <w:szCs w:val="32"/>
              </w:rPr>
              <w:t>不得在行道树、景观花台上张贴、刻画、钉钉、拴绳、挂物或围树搭建（7分）</w:t>
            </w:r>
          </w:p>
        </w:tc>
        <w:tc>
          <w:tcPr>
            <w:tcW w:w="4944" w:type="dxa"/>
            <w:vAlign w:val="center"/>
          </w:tcPr>
          <w:p>
            <w:pPr>
              <w:spacing w:line="240" w:lineRule="exact"/>
              <w:rPr>
                <w:sz w:val="22"/>
                <w:szCs w:val="32"/>
              </w:rPr>
            </w:pPr>
            <w:r>
              <w:rPr>
                <w:rFonts w:hint="eastAsia"/>
                <w:sz w:val="22"/>
                <w:szCs w:val="32"/>
              </w:rPr>
              <w:t>发现一处问题扣1分</w:t>
            </w:r>
          </w:p>
        </w:tc>
        <w:tc>
          <w:tcPr>
            <w:tcW w:w="852" w:type="dxa"/>
            <w:vMerge w:val="restart"/>
          </w:tcPr>
          <w:p>
            <w:pPr>
              <w:spacing w:line="2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vAlign w:val="center"/>
          </w:tcPr>
          <w:p>
            <w:pPr>
              <w:spacing w:line="240" w:lineRule="exact"/>
              <w:jc w:val="center"/>
              <w:rPr>
                <w:b/>
                <w:sz w:val="22"/>
                <w:szCs w:val="32"/>
              </w:rPr>
            </w:pPr>
          </w:p>
        </w:tc>
        <w:tc>
          <w:tcPr>
            <w:tcW w:w="7221" w:type="dxa"/>
            <w:vAlign w:val="center"/>
          </w:tcPr>
          <w:p>
            <w:pPr>
              <w:spacing w:line="240" w:lineRule="exact"/>
              <w:rPr>
                <w:sz w:val="22"/>
                <w:szCs w:val="32"/>
              </w:rPr>
            </w:pPr>
            <w:r>
              <w:rPr>
                <w:rFonts w:hint="eastAsia"/>
                <w:sz w:val="22"/>
                <w:szCs w:val="32"/>
              </w:rPr>
              <w:t>严禁攀摘砍伐花木、践踏绿地、损坏绿化设施（7分）</w:t>
            </w:r>
          </w:p>
        </w:tc>
        <w:tc>
          <w:tcPr>
            <w:tcW w:w="4944" w:type="dxa"/>
            <w:vAlign w:val="center"/>
          </w:tcPr>
          <w:p>
            <w:pPr>
              <w:spacing w:line="240" w:lineRule="exact"/>
              <w:rPr>
                <w:sz w:val="22"/>
                <w:szCs w:val="32"/>
              </w:rPr>
            </w:pPr>
            <w:r>
              <w:rPr>
                <w:rFonts w:hint="eastAsia"/>
                <w:sz w:val="22"/>
                <w:szCs w:val="32"/>
              </w:rPr>
              <w:t>发现一处问题扣1分</w:t>
            </w:r>
          </w:p>
        </w:tc>
        <w:tc>
          <w:tcPr>
            <w:tcW w:w="852" w:type="dxa"/>
            <w:vMerge w:val="continue"/>
          </w:tcPr>
          <w:p>
            <w:pPr>
              <w:spacing w:line="2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Merge w:val="continue"/>
            <w:vAlign w:val="center"/>
          </w:tcPr>
          <w:p>
            <w:pPr>
              <w:spacing w:line="240" w:lineRule="exact"/>
              <w:jc w:val="center"/>
              <w:rPr>
                <w:b/>
                <w:sz w:val="22"/>
                <w:szCs w:val="32"/>
              </w:rPr>
            </w:pPr>
          </w:p>
        </w:tc>
        <w:tc>
          <w:tcPr>
            <w:tcW w:w="7221" w:type="dxa"/>
            <w:vAlign w:val="center"/>
          </w:tcPr>
          <w:p>
            <w:pPr>
              <w:spacing w:line="240" w:lineRule="exact"/>
              <w:rPr>
                <w:sz w:val="22"/>
                <w:szCs w:val="32"/>
              </w:rPr>
            </w:pPr>
            <w:r>
              <w:rPr>
                <w:rFonts w:hint="eastAsia"/>
                <w:sz w:val="22"/>
                <w:szCs w:val="32"/>
              </w:rPr>
              <w:t>禁止利用树木、护栏和电线杆悬挂、晾晒衣物和其他物品（6分）</w:t>
            </w:r>
          </w:p>
        </w:tc>
        <w:tc>
          <w:tcPr>
            <w:tcW w:w="4944" w:type="dxa"/>
            <w:vAlign w:val="center"/>
          </w:tcPr>
          <w:p>
            <w:pPr>
              <w:spacing w:line="240" w:lineRule="exact"/>
              <w:rPr>
                <w:sz w:val="22"/>
                <w:szCs w:val="32"/>
              </w:rPr>
            </w:pPr>
            <w:r>
              <w:rPr>
                <w:rFonts w:hint="eastAsia"/>
                <w:sz w:val="22"/>
                <w:szCs w:val="32"/>
              </w:rPr>
              <w:t>发现一处问题扣1分</w:t>
            </w:r>
          </w:p>
        </w:tc>
        <w:tc>
          <w:tcPr>
            <w:tcW w:w="852" w:type="dxa"/>
            <w:vMerge w:val="continue"/>
          </w:tcPr>
          <w:p>
            <w:pPr>
              <w:spacing w:line="240" w:lineRule="exact"/>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215" w:type="dxa"/>
            <w:vAlign w:val="center"/>
          </w:tcPr>
          <w:p>
            <w:pPr>
              <w:spacing w:line="240" w:lineRule="exact"/>
              <w:jc w:val="center"/>
              <w:rPr>
                <w:b/>
                <w:sz w:val="22"/>
                <w:szCs w:val="32"/>
              </w:rPr>
            </w:pPr>
            <w:r>
              <w:rPr>
                <w:rFonts w:hint="eastAsia"/>
                <w:b/>
                <w:sz w:val="22"/>
                <w:szCs w:val="32"/>
              </w:rPr>
              <w:t>加扣分项</w:t>
            </w:r>
          </w:p>
        </w:tc>
        <w:tc>
          <w:tcPr>
            <w:tcW w:w="7221" w:type="dxa"/>
            <w:vAlign w:val="center"/>
          </w:tcPr>
          <w:p>
            <w:pPr>
              <w:spacing w:line="240" w:lineRule="exact"/>
              <w:jc w:val="center"/>
              <w:rPr>
                <w:sz w:val="22"/>
                <w:szCs w:val="32"/>
              </w:rPr>
            </w:pPr>
          </w:p>
        </w:tc>
        <w:tc>
          <w:tcPr>
            <w:tcW w:w="4944" w:type="dxa"/>
            <w:vAlign w:val="center"/>
          </w:tcPr>
          <w:p>
            <w:pPr>
              <w:spacing w:line="240" w:lineRule="exact"/>
              <w:jc w:val="center"/>
              <w:rPr>
                <w:sz w:val="22"/>
                <w:szCs w:val="32"/>
              </w:rPr>
            </w:pPr>
          </w:p>
        </w:tc>
        <w:tc>
          <w:tcPr>
            <w:tcW w:w="852" w:type="dxa"/>
          </w:tcPr>
          <w:p>
            <w:pPr>
              <w:spacing w:line="240" w:lineRule="exact"/>
              <w:jc w:val="center"/>
              <w:rPr>
                <w:sz w:val="22"/>
              </w:rPr>
            </w:pPr>
          </w:p>
        </w:tc>
      </w:tr>
    </w:tbl>
    <w:p>
      <w:pPr>
        <w:spacing w:line="280" w:lineRule="exact"/>
        <w:rPr>
          <w:rFonts w:ascii="仿宋" w:hAnsi="仿宋" w:eastAsia="仿宋"/>
          <w:szCs w:val="32"/>
        </w:rPr>
        <w:sectPr>
          <w:pgSz w:w="16838" w:h="11906" w:orient="landscape"/>
          <w:pgMar w:top="1800" w:right="1440" w:bottom="1800" w:left="1440" w:header="851" w:footer="992" w:gutter="0"/>
          <w:cols w:space="720" w:num="1"/>
          <w:docGrid w:type="lines" w:linePitch="312" w:charSpace="0"/>
        </w:sectPr>
      </w:pPr>
      <w:r>
        <w:rPr>
          <w:rFonts w:hint="eastAsia" w:ascii="仿宋" w:hAnsi="仿宋" w:eastAsia="仿宋"/>
          <w:szCs w:val="32"/>
        </w:rPr>
        <w:t>备注：扣分最小单位为0.5分，扣分最高值为每小格分值扣完为止，不倒扣分。（环境卫生、市容市貌、秩序维护、绿化管理）每块评分中，扣分项达五项，则加扣1分，以此类推；没有扣分项，则加一分。</w:t>
      </w:r>
    </w:p>
    <w:p>
      <w:pPr>
        <w:spacing w:line="560" w:lineRule="exact"/>
        <w:rPr>
          <w:rFonts w:ascii="黑体" w:hAnsi="黑体" w:eastAsia="黑体"/>
          <w:sz w:val="32"/>
          <w:szCs w:val="32"/>
        </w:rPr>
      </w:pPr>
      <w:r>
        <w:rPr>
          <w:rFonts w:hint="eastAsia" w:ascii="黑体" w:hAnsi="黑体" w:eastAsia="黑体"/>
          <w:sz w:val="32"/>
          <w:szCs w:val="32"/>
        </w:rPr>
        <w:t>附件5</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岱山县2022年背街小巷改造提升行动</w:t>
      </w:r>
    </w:p>
    <w:p>
      <w:pPr>
        <w:spacing w:line="560" w:lineRule="exact"/>
        <w:jc w:val="center"/>
        <w:rPr>
          <w:rFonts w:ascii="仿宋_GB2312" w:eastAsia="仿宋_GB2312"/>
          <w:sz w:val="32"/>
          <w:szCs w:val="32"/>
        </w:rPr>
      </w:pPr>
      <w:r>
        <w:rPr>
          <w:rFonts w:hint="eastAsia" w:ascii="方正小标宋简体" w:eastAsia="方正小标宋简体"/>
          <w:sz w:val="44"/>
          <w:szCs w:val="44"/>
        </w:rPr>
        <w:t>实施方案</w:t>
      </w:r>
      <w:r>
        <w:rPr>
          <w:rFonts w:hint="eastAsia" w:ascii="方正小标宋简体" w:eastAsia="方正小标宋简体"/>
          <w:sz w:val="44"/>
          <w:szCs w:val="44"/>
        </w:rPr>
        <w:cr/>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了切实改善我县背街小巷环境面貌，完善城市基础设施，提升人居环境质量和生活品质，打造美丽宜居和谐的城市街巷环境，提升城市文明形象，增强市民满意度和获得感，确保我县全国县级文明城市创建和城市精细化管理工作落到实处，经研究，决定在近几年整治基础上，继续开展背街小巷整治工作。现结合工作实际，制定本方案。</w:t>
      </w:r>
      <w:r>
        <w:rPr>
          <w:rFonts w:hint="eastAsia" w:ascii="仿宋_GB2312" w:eastAsia="仿宋_GB2312"/>
          <w:sz w:val="32"/>
          <w:szCs w:val="32"/>
        </w:rPr>
        <w:cr/>
      </w:r>
      <w:r>
        <w:rPr>
          <w:rFonts w:hint="eastAsia" w:ascii="仿宋_GB2312" w:eastAsia="仿宋_GB2312"/>
          <w:sz w:val="32"/>
          <w:szCs w:val="32"/>
        </w:rPr>
        <w:t xml:space="preserve">    </w:t>
      </w:r>
      <w:r>
        <w:rPr>
          <w:rFonts w:hint="eastAsia" w:ascii="黑体" w:hAnsi="黑体" w:eastAsia="黑体"/>
          <w:sz w:val="32"/>
          <w:szCs w:val="32"/>
        </w:rPr>
        <w:t>一、整治目标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结合全国县级文明城市创建工作，对全县主次干道、市场周边的背街小巷开展综合整治提升工作，着力营造“设施完好、管路整齐、车辆有序、环境整洁、美化绿化”的街巷环境，整治市政设施不全、运行不畅、污水乱排、管线乱拉以及跨门经营、流动设摊、乱扔垃圾、乱停车等问题，进一步推进城市精细化建设管理工作全覆盖、无盲区，进一步提升街道人居环境质量和幸福指数。</w:t>
      </w:r>
      <w:r>
        <w:rPr>
          <w:rFonts w:hint="eastAsia" w:ascii="仿宋_GB2312" w:eastAsia="仿宋_GB2312"/>
          <w:sz w:val="32"/>
          <w:szCs w:val="32"/>
        </w:rPr>
        <w:cr/>
      </w:r>
      <w:r>
        <w:rPr>
          <w:rFonts w:hint="eastAsia" w:ascii="仿宋_GB2312" w:eastAsia="仿宋_GB2312"/>
          <w:sz w:val="32"/>
          <w:szCs w:val="32"/>
        </w:rPr>
        <w:t xml:space="preserve">    </w:t>
      </w:r>
      <w:r>
        <w:rPr>
          <w:rFonts w:hint="eastAsia" w:ascii="黑体" w:hAnsi="黑体" w:eastAsia="黑体"/>
          <w:sz w:val="32"/>
          <w:szCs w:val="32"/>
        </w:rPr>
        <w:t>二、整治内容和标准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本次整治主要以全国县级文明城市创建实地测评标准为参照，对主次干道、市场周边的背街小巷进行全面提升，落实长效管理机制。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市政设施修复完善并维护到位，确保道路硬化平整，路面无破损、沉降，无明显坑洼积水、无被违规占用现象；窨井盖齐全，无破损；雨污管道畅通，无露天排水沟渠，路面无污水满溢、横流；路灯及其它各类城市家具设置规范，整洁完好；停车泊位（包括机动车、非机动车）设置合理，朝向一致，整齐划一；立面无破损，无非法搭建；空中（立面）管线整齐有序，无乱拉乱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街面秩序管理实行“路长制”责任机制，强化各类管控措施，确保沿街单位、商户自觉落实“门前四包”责任制，无跨门经营、占道经营，无乱堆物料、杂物，无乱搭乱建；公共区域无私自设置的停车地锁和划线围挡私用现象；无车辆乱停乱放、违规占用人行道等行为；无流动设摊现象；无不文明养宠现象；无乱涂乱画乱贴小广告现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垃圾清扫清运及时，保洁到位，确保地面无暴露垃圾、无卫生死角，绿化带无白色垃圾，无围挡垃圾；道路排水篦及周围无成片垃圾尘土和积水；垃圾箱干净整洁，日产日清，无垃圾外溢；健全保洁员长效管理制度，分配专人进行背街小巷的清扫保洁。</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（四）绿化养护落实日常管理制度，加大对园林绿化设施的保养力度，及时修剪补种绿化，确保无死株、缺株，无草坪裸露等现象；在合适的位置区域内实施绿化美化且管护良好。</w:t>
      </w:r>
      <w:r>
        <w:rPr>
          <w:rFonts w:hint="eastAsia" w:ascii="仿宋_GB2312" w:eastAsia="仿宋_GB2312"/>
          <w:sz w:val="32"/>
          <w:szCs w:val="32"/>
        </w:rPr>
        <w:cr/>
      </w:r>
      <w:r>
        <w:rPr>
          <w:rFonts w:hint="eastAsia" w:ascii="仿宋_GB2312" w:eastAsia="仿宋_GB2312"/>
          <w:sz w:val="32"/>
          <w:szCs w:val="32"/>
        </w:rPr>
        <w:t xml:space="preserve">    </w:t>
      </w:r>
      <w:r>
        <w:rPr>
          <w:rFonts w:hint="eastAsia" w:ascii="黑体" w:hAnsi="黑体" w:eastAsia="黑体"/>
          <w:sz w:val="32"/>
          <w:szCs w:val="32"/>
        </w:rPr>
        <w:t>三、整治范围</w:t>
      </w:r>
      <w:r>
        <w:rPr>
          <w:rFonts w:hint="eastAsia" w:ascii="黑体" w:hAnsi="黑体" w:eastAsia="黑体"/>
          <w:sz w:val="32"/>
          <w:szCs w:val="32"/>
        </w:rPr>
        <w:cr/>
      </w:r>
      <w:r>
        <w:rPr>
          <w:rFonts w:hint="eastAsia" w:ascii="仿宋_GB2312" w:eastAsia="仿宋_GB2312"/>
          <w:sz w:val="32"/>
          <w:szCs w:val="32"/>
        </w:rPr>
        <w:t xml:space="preserve">    康嘉路（长河路</w:t>
      </w:r>
      <w:r>
        <w:rPr>
          <w:rFonts w:eastAsia="仿宋_GB2312"/>
          <w:sz w:val="32"/>
          <w:szCs w:val="32"/>
        </w:rPr>
        <w:t>-</w:t>
      </w:r>
      <w:r>
        <w:rPr>
          <w:rFonts w:hint="eastAsia" w:ascii="仿宋_GB2312" w:eastAsia="仿宋_GB2312"/>
          <w:sz w:val="32"/>
          <w:szCs w:val="32"/>
        </w:rPr>
        <w:t>环城北路）；</w:t>
      </w:r>
      <w:r>
        <w:rPr>
          <w:rFonts w:hint="eastAsia" w:ascii="仿宋_GB2312" w:eastAsia="仿宋_GB2312"/>
          <w:sz w:val="32"/>
          <w:szCs w:val="32"/>
        </w:rPr>
        <w:cr/>
      </w:r>
      <w:r>
        <w:rPr>
          <w:rFonts w:hint="eastAsia" w:ascii="仿宋_GB2312" w:eastAsia="仿宋_GB2312"/>
          <w:sz w:val="32"/>
          <w:szCs w:val="32"/>
        </w:rPr>
        <w:t xml:space="preserve">    </w:t>
      </w:r>
      <w:r>
        <w:rPr>
          <w:rFonts w:hint="eastAsia" w:ascii="黑体" w:hAnsi="黑体" w:eastAsia="黑体"/>
          <w:sz w:val="32"/>
          <w:szCs w:val="32"/>
        </w:rPr>
        <w:t>四、责任划分</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县公安局：</w:t>
      </w:r>
      <w:r>
        <w:rPr>
          <w:rFonts w:hint="eastAsia" w:ascii="仿宋_GB2312" w:eastAsia="仿宋_GB2312"/>
          <w:sz w:val="32"/>
          <w:szCs w:val="32"/>
        </w:rPr>
        <w:t>做好道路监控、测速装置等权属设备的移位整治相关工作；做好合并后杆、箱设置位置选取等相关指导工作；督促第三方做好隔离栏的日常养护工作；强化对机动车道上违规停放电瓶车的管理。</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县住建局：</w:t>
      </w:r>
      <w:r>
        <w:rPr>
          <w:rFonts w:hint="eastAsia" w:ascii="仿宋_GB2312" w:eastAsia="仿宋_GB2312"/>
          <w:sz w:val="32"/>
          <w:szCs w:val="32"/>
        </w:rPr>
        <w:t>负责背街小巷整治工程的施工的监督指导，做好施工工程的技术指导、审批及监督管理。</w:t>
      </w:r>
    </w:p>
    <w:p>
      <w:pPr>
        <w:widowControl/>
        <w:spacing w:line="560" w:lineRule="exact"/>
        <w:ind w:firstLine="643" w:firstLineChars="200"/>
        <w:rPr>
          <w:rFonts w:ascii="仿宋_GB2312" w:eastAsia="仿宋_GB2312"/>
          <w:sz w:val="32"/>
          <w:szCs w:val="32"/>
        </w:rPr>
      </w:pPr>
      <w:r>
        <w:rPr>
          <w:rFonts w:hint="eastAsia" w:ascii="仿宋_GB2312" w:eastAsia="仿宋_GB2312"/>
          <w:b/>
          <w:sz w:val="32"/>
          <w:szCs w:val="32"/>
        </w:rPr>
        <w:t>县</w:t>
      </w:r>
      <w:r>
        <w:rPr>
          <w:rFonts w:ascii="仿宋_GB2312" w:eastAsia="仿宋_GB2312"/>
          <w:b/>
          <w:sz w:val="32"/>
          <w:szCs w:val="32"/>
        </w:rPr>
        <w:t>市场监督管理局：</w:t>
      </w:r>
      <w:r>
        <w:rPr>
          <w:rFonts w:hint="eastAsia" w:ascii="仿宋_GB2312" w:eastAsia="仿宋_GB2312"/>
          <w:sz w:val="32"/>
          <w:szCs w:val="32"/>
        </w:rPr>
        <w:t>负责督促餐饮行业的环境</w:t>
      </w:r>
      <w:r>
        <w:rPr>
          <w:rFonts w:ascii="仿宋_GB2312" w:eastAsia="仿宋_GB2312"/>
          <w:sz w:val="32"/>
          <w:szCs w:val="32"/>
        </w:rPr>
        <w:t>卫生责任区责任人</w:t>
      </w:r>
      <w:r>
        <w:rPr>
          <w:rFonts w:hint="eastAsia" w:ascii="仿宋_GB2312" w:eastAsia="仿宋_GB2312"/>
          <w:sz w:val="32"/>
          <w:szCs w:val="32"/>
        </w:rPr>
        <w:t>落实主体责任，将执法部门通报的违法信息和其他未履行</w:t>
      </w:r>
      <w:r>
        <w:rPr>
          <w:rFonts w:ascii="仿宋_GB2312" w:eastAsia="仿宋_GB2312"/>
          <w:sz w:val="32"/>
          <w:szCs w:val="32"/>
        </w:rPr>
        <w:t>环境卫生责任区</w:t>
      </w:r>
      <w:r>
        <w:rPr>
          <w:rFonts w:hint="eastAsia" w:ascii="仿宋_GB2312" w:eastAsia="仿宋_GB2312"/>
          <w:sz w:val="32"/>
          <w:szCs w:val="32"/>
        </w:rPr>
        <w:t>责任的</w:t>
      </w:r>
      <w:r>
        <w:rPr>
          <w:rFonts w:ascii="仿宋_GB2312" w:eastAsia="仿宋_GB2312"/>
          <w:sz w:val="32"/>
          <w:szCs w:val="32"/>
        </w:rPr>
        <w:t>行为</w:t>
      </w:r>
      <w:r>
        <w:rPr>
          <w:rFonts w:hint="eastAsia" w:ascii="仿宋_GB2312" w:eastAsia="仿宋_GB2312"/>
          <w:sz w:val="32"/>
          <w:szCs w:val="32"/>
        </w:rPr>
        <w:t>，及时告知相关当事人，督促“门前四包”制度的落实。</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县综合行政执法局：</w:t>
      </w:r>
      <w:r>
        <w:rPr>
          <w:rFonts w:hint="eastAsia" w:ascii="仿宋_GB2312" w:eastAsia="仿宋_GB2312"/>
          <w:sz w:val="32"/>
          <w:szCs w:val="32"/>
        </w:rPr>
        <w:t>负责整治工作的牵头协调。起草专项行动实施方案，召集专项整治工作会议，协调、督促专项整治工作的开展，组织对整治工作的督促检查和验收。</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县安澜城投集团：</w:t>
      </w:r>
      <w:r>
        <w:rPr>
          <w:rFonts w:hint="eastAsia" w:ascii="仿宋_GB2312" w:eastAsia="仿宋_GB2312"/>
          <w:sz w:val="32"/>
          <w:szCs w:val="32"/>
        </w:rPr>
        <w:t>制定具体整改方案，落实具体实施部门、监督管理部门，做好资金保障、停车设施建设维护等工作。</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国网岱山县供电公司、市自来水公司、电信岱山分公司、移动岱山分公司、联通岱山分公司、岱山华数广电网络有限公司等各管线产权单位</w:t>
      </w:r>
      <w:r>
        <w:rPr>
          <w:rFonts w:hint="eastAsia" w:ascii="仿宋_GB2312" w:eastAsia="仿宋_GB2312"/>
          <w:sz w:val="32"/>
          <w:szCs w:val="32"/>
        </w:rPr>
        <w:t>：负责实施清理整治背街小巷自有的各种架空管线、设施箱和杆架，对有条件落地的空中管线实施统一落地，对无条件落地的空中管线实施统一规整，消除空中“蜘蛛网”。</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五、整治步骤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各部门要结合各辖区内背街小巷路面实际情况，科学制定整治计划，倒排整治期限，严格按照整治内容和标准，全力以赴抓好背街小巷整治工作。</w:t>
      </w:r>
      <w:r>
        <w:rPr>
          <w:rFonts w:hint="eastAsia" w:ascii="仿宋_GB2312" w:eastAsia="仿宋_GB2312"/>
          <w:sz w:val="32"/>
          <w:szCs w:val="32"/>
        </w:rPr>
        <w:cr/>
      </w:r>
      <w:r>
        <w:rPr>
          <w:rFonts w:hint="eastAsia" w:ascii="仿宋_GB2312" w:eastAsia="仿宋_GB2312"/>
          <w:sz w:val="32"/>
          <w:szCs w:val="32"/>
        </w:rPr>
        <w:t xml:space="preserve">  </w:t>
      </w:r>
      <w:r>
        <w:rPr>
          <w:rFonts w:hint="eastAsia" w:ascii="仿宋_GB2312" w:eastAsia="仿宋_GB2312"/>
          <w:b/>
          <w:sz w:val="32"/>
          <w:szCs w:val="32"/>
        </w:rPr>
        <w:t xml:space="preserve">  1、施工整改阶段（2022年5月底）：</w:t>
      </w:r>
      <w:r>
        <w:rPr>
          <w:rFonts w:hint="eastAsia" w:ascii="仿宋_GB2312" w:eastAsia="仿宋_GB2312"/>
          <w:sz w:val="32"/>
          <w:szCs w:val="32"/>
        </w:rPr>
        <w:t>根据确定的整治重点拟定具体实施方案，明确责任和任务，对照标准制定具体整治目标及月进度计划；在5月底前完成路面施工。</w:t>
      </w:r>
      <w:r>
        <w:rPr>
          <w:rFonts w:hint="eastAsia" w:ascii="仿宋_GB2312" w:eastAsia="仿宋_GB2312"/>
          <w:sz w:val="32"/>
          <w:szCs w:val="32"/>
        </w:rPr>
        <w:cr/>
      </w:r>
      <w:r>
        <w:rPr>
          <w:rFonts w:hint="eastAsia" w:ascii="仿宋_GB2312" w:eastAsia="仿宋_GB2312"/>
          <w:sz w:val="32"/>
          <w:szCs w:val="32"/>
        </w:rPr>
        <w:t xml:space="preserve">   </w:t>
      </w:r>
      <w:r>
        <w:rPr>
          <w:rFonts w:hint="eastAsia" w:ascii="仿宋_GB2312" w:eastAsia="仿宋_GB2312"/>
          <w:b/>
          <w:sz w:val="32"/>
          <w:szCs w:val="32"/>
        </w:rPr>
        <w:t xml:space="preserve"> 2、集中整治阶段（2022年6月一12月上旬）：</w:t>
      </w:r>
      <w:r>
        <w:rPr>
          <w:rFonts w:hint="eastAsia" w:ascii="仿宋_GB2312" w:eastAsia="仿宋_GB2312"/>
          <w:sz w:val="32"/>
          <w:szCs w:val="32"/>
        </w:rPr>
        <w:t>合力攻坚，确保按时完成整治任务。要落实具体人员，实行“路长制”责任机制、城管网格管理制，对整治路段进行全方位管控，特别是一些容易反弹的市容环境卫生问题，要采用信息采集、路面巡查、随机抽查等多种措施，切实巩固整治成效。</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3、总结验收阶段（2022年12月中旬）：</w:t>
      </w:r>
      <w:r>
        <w:rPr>
          <w:rFonts w:hint="eastAsia" w:ascii="仿宋_GB2312" w:eastAsia="仿宋_GB2312"/>
          <w:sz w:val="32"/>
          <w:szCs w:val="32"/>
        </w:rPr>
        <w:t>在集中攻坚的基础上，建立健全长效机制，实行常态管，整理建设、管理相关资料，做好台帐梳理，做好迎检准备工作。</w:t>
      </w:r>
      <w:r>
        <w:rPr>
          <w:rFonts w:hint="eastAsia" w:ascii="仿宋_GB2312" w:eastAsia="仿宋_GB2312"/>
          <w:sz w:val="32"/>
          <w:szCs w:val="32"/>
        </w:rPr>
        <w:cr/>
      </w:r>
      <w:r>
        <w:rPr>
          <w:rFonts w:hint="eastAsia" w:ascii="仿宋_GB2312" w:eastAsia="仿宋_GB2312"/>
          <w:sz w:val="32"/>
          <w:szCs w:val="32"/>
        </w:rPr>
        <w:t xml:space="preserve">    </w:t>
      </w:r>
      <w:r>
        <w:rPr>
          <w:rFonts w:hint="eastAsia" w:ascii="黑体" w:hAnsi="黑体" w:eastAsia="黑体"/>
          <w:sz w:val="32"/>
          <w:szCs w:val="32"/>
        </w:rPr>
        <w:t>六、保障措施</w:t>
      </w:r>
      <w:r>
        <w:rPr>
          <w:rFonts w:hint="eastAsia" w:ascii="黑体" w:hAnsi="黑体" w:eastAsia="黑体"/>
          <w:sz w:val="32"/>
          <w:szCs w:val="32"/>
        </w:rPr>
        <w:cr/>
      </w:r>
      <w:r>
        <w:rPr>
          <w:rFonts w:hint="eastAsia" w:ascii="仿宋_GB2312" w:eastAsia="仿宋_GB2312"/>
          <w:sz w:val="32"/>
          <w:szCs w:val="32"/>
        </w:rPr>
        <w:t xml:space="preserve">    </w:t>
      </w:r>
      <w:r>
        <w:rPr>
          <w:rFonts w:hint="eastAsia" w:ascii="仿宋_GB2312" w:eastAsia="仿宋_GB2312"/>
          <w:b/>
          <w:sz w:val="32"/>
          <w:szCs w:val="32"/>
        </w:rPr>
        <w:t>（一）明确责任，各司其职。</w:t>
      </w:r>
      <w:r>
        <w:rPr>
          <w:rFonts w:hint="eastAsia" w:ascii="仿宋_GB2312" w:eastAsia="仿宋_GB2312"/>
          <w:sz w:val="32"/>
          <w:szCs w:val="32"/>
        </w:rPr>
        <w:t xml:space="preserve">各职能部门要充分发挥主力军作用，科学制定整治计划，倒排整治期限，严格按照整治内容和标准，全力以赴抓好背街小巷整治工作。充分树立“一盘棋”思想，强化大局意识，根据职责分工，主动加强指导和督办，确保高质量完成整治任务。 </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（二）严格管理，强化执法。</w:t>
      </w:r>
      <w:r>
        <w:rPr>
          <w:rFonts w:hint="eastAsia" w:ascii="仿宋_GB2312" w:eastAsia="仿宋_GB2312"/>
          <w:sz w:val="32"/>
          <w:szCs w:val="32"/>
        </w:rPr>
        <w:t>县整治办要按照背街小巷综合整治标准，结合创城工作，进行定期路面督查，对督查发现的问题要在第一时间反馈给各职能部门，要求在第一时间进行处理。要强化执法保障，特别是针对影响交通安全、市容环境的各类违规违法行为，要加大处罚力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（三）宣传动员，共治共享。</w:t>
      </w:r>
      <w:r>
        <w:rPr>
          <w:rFonts w:hint="eastAsia" w:ascii="仿宋_GB2312" w:eastAsia="仿宋_GB2312"/>
          <w:sz w:val="32"/>
          <w:szCs w:val="32"/>
        </w:rPr>
        <w:t>要注重强化工作保障，构建共治共享、群众参与的工作格局，加大对背街小巷环境整治提升工作的宣传报道力度。运用主题活动、志愿服务等多种方式做好群众动员工作，形成全社会关心、全民参与整治的良好氛围，不断增强人民群众的获得感。</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附件6</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岱山县2022年污水管网提升改造行动</w:t>
      </w:r>
    </w:p>
    <w:p>
      <w:pPr>
        <w:spacing w:line="560" w:lineRule="exact"/>
        <w:jc w:val="center"/>
        <w:rPr>
          <w:rFonts w:ascii="仿宋_GB2312" w:eastAsia="仿宋_GB2312"/>
          <w:sz w:val="32"/>
          <w:szCs w:val="32"/>
        </w:rPr>
      </w:pPr>
      <w:r>
        <w:rPr>
          <w:rFonts w:hint="eastAsia" w:ascii="方正小标宋简体" w:eastAsia="方正小标宋简体"/>
          <w:sz w:val="44"/>
          <w:szCs w:val="44"/>
        </w:rPr>
        <w:t>实施方案</w:t>
      </w:r>
      <w:r>
        <w:rPr>
          <w:rFonts w:hint="eastAsia" w:ascii="方正小标宋简体" w:eastAsia="方正小标宋简体"/>
          <w:sz w:val="44"/>
          <w:szCs w:val="44"/>
        </w:rPr>
        <w:cr/>
      </w:r>
      <w:r>
        <w:rPr>
          <w:rFonts w:hint="eastAsia" w:ascii="仿宋_GB2312" w:eastAsia="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根据《岱山县2022年城乡环境综合整治提升行动实施方案》要求，为持续推进2020年长江经济带生态环境警示片曝光问题、第二轮中央生态环境保护督察反馈问题涉及城镇污水管网问题整改工作，切实提升管网收集能效，结合全县城镇污水管网补短板实际，制定本方案。</w:t>
      </w:r>
      <w:r>
        <w:rPr>
          <w:rFonts w:hint="eastAsia" w:ascii="仿宋_GB2312" w:eastAsia="仿宋_GB2312"/>
          <w:sz w:val="32"/>
          <w:szCs w:val="32"/>
        </w:rPr>
        <w:cr/>
      </w:r>
      <w:r>
        <w:rPr>
          <w:rFonts w:hint="eastAsia" w:ascii="仿宋_GB2312" w:eastAsia="仿宋_GB2312"/>
          <w:sz w:val="32"/>
          <w:szCs w:val="32"/>
        </w:rPr>
        <w:t xml:space="preserve">     </w:t>
      </w:r>
      <w:r>
        <w:rPr>
          <w:rFonts w:hint="eastAsia" w:ascii="黑体" w:hAnsi="黑体" w:eastAsia="黑体"/>
          <w:sz w:val="32"/>
          <w:szCs w:val="32"/>
        </w:rPr>
        <w:t>一、工作目标</w:t>
      </w:r>
    </w:p>
    <w:p>
      <w:pPr>
        <w:spacing w:line="560" w:lineRule="exact"/>
        <w:ind w:firstLine="640" w:firstLineChars="200"/>
        <w:jc w:val="left"/>
        <w:rPr>
          <w:rFonts w:ascii="黑体" w:hAnsi="黑体" w:eastAsia="黑体"/>
          <w:sz w:val="32"/>
          <w:szCs w:val="32"/>
        </w:rPr>
      </w:pPr>
      <w:r>
        <w:rPr>
          <w:rFonts w:hint="eastAsia" w:ascii="仿宋_GB2312" w:eastAsia="仿宋_GB2312"/>
          <w:sz w:val="32"/>
          <w:szCs w:val="32"/>
        </w:rPr>
        <w:t>围绕目前城区污水管网破损严重、覆盖面不足等问题，通过加强对老城区污水管网的排查，查找问题并针对性进行提升改造，通过新建污水配套管网，扩大污水收集范围等措施，努力提高城镇污水管网收集能效，2022年全县完成污水管网建设改造1公里。</w:t>
      </w:r>
      <w:r>
        <w:rPr>
          <w:rFonts w:hint="eastAsia" w:ascii="仿宋_GB2312" w:eastAsia="仿宋_GB2312"/>
          <w:sz w:val="32"/>
          <w:szCs w:val="32"/>
        </w:rPr>
        <w:cr/>
      </w:r>
      <w:r>
        <w:rPr>
          <w:rFonts w:hint="eastAsia" w:ascii="仿宋_GB2312" w:eastAsia="仿宋_GB2312"/>
          <w:sz w:val="32"/>
          <w:szCs w:val="32"/>
        </w:rPr>
        <w:t xml:space="preserve">    </w:t>
      </w:r>
      <w:r>
        <w:rPr>
          <w:rFonts w:hint="eastAsia" w:ascii="黑体" w:hAnsi="黑体" w:eastAsia="黑体"/>
          <w:sz w:val="32"/>
          <w:szCs w:val="32"/>
        </w:rPr>
        <w:t>二、工作任务</w:t>
      </w:r>
    </w:p>
    <w:p>
      <w:pPr>
        <w:spacing w:line="560" w:lineRule="exact"/>
        <w:ind w:firstLine="640" w:firstLineChars="200"/>
        <w:jc w:val="left"/>
        <w:rPr>
          <w:rFonts w:ascii="仿宋_GB2312" w:eastAsia="仿宋_GB2312"/>
          <w:sz w:val="32"/>
          <w:szCs w:val="32"/>
        </w:rPr>
      </w:pPr>
      <w:r>
        <w:rPr>
          <w:rFonts w:hint="eastAsia" w:ascii="楷体_GB2312" w:eastAsia="楷体_GB2312"/>
          <w:sz w:val="32"/>
          <w:szCs w:val="32"/>
        </w:rPr>
        <w:t>（一）加快推进配套污水管网建设。</w:t>
      </w:r>
      <w:r>
        <w:rPr>
          <w:rFonts w:hint="eastAsia" w:ascii="仿宋_GB2312" w:eastAsia="仿宋_GB2312"/>
          <w:sz w:val="32"/>
          <w:szCs w:val="32"/>
        </w:rPr>
        <w:t>一是加快岱山县污水处理厂配套污水主管网建设，力争与污水处理厂同步投运。二是要在道路建设改造中同步建设、改造污水管网，提高污水收集管网能效。三是加快末稍污水收集管网建设，延伸污水收集范围。四是持续推进老城区雨污分流改造，结合老城区低洼地改造、旧城改造、危旧房改造、城中村改造、街弄小巷改造等工程，进一步跟进相应区域的雨污分流改造和截污纳管工作。</w:t>
      </w:r>
    </w:p>
    <w:p>
      <w:pPr>
        <w:spacing w:line="560" w:lineRule="exact"/>
        <w:ind w:firstLine="640" w:firstLineChars="200"/>
        <w:jc w:val="left"/>
        <w:rPr>
          <w:rFonts w:ascii="仿宋_GB2312" w:eastAsia="仿宋_GB2312"/>
          <w:sz w:val="32"/>
          <w:szCs w:val="32"/>
        </w:rPr>
      </w:pPr>
      <w:r>
        <w:rPr>
          <w:rFonts w:hint="eastAsia" w:ascii="楷体_GB2312" w:eastAsia="楷体_GB2312"/>
          <w:sz w:val="32"/>
          <w:szCs w:val="32"/>
        </w:rPr>
        <w:t>（二）完善排水管网地理信息系统。</w:t>
      </w:r>
      <w:r>
        <w:rPr>
          <w:rFonts w:hint="eastAsia" w:ascii="仿宋_GB2312" w:eastAsia="仿宋_GB2312"/>
          <w:sz w:val="32"/>
          <w:szCs w:val="32"/>
        </w:rPr>
        <w:t>根据舟山市地下管线管理办法，建立动态更新机制，将新建成的管线在竣工验收完成后及时相关数据更新到地下管线管理系统，对地下管线特别是排水管网数据进行年度补测补绘，确保管网信息系统数据完整。同时结合地下市政基础设施普查和居民小区管网排查，逐步将居民小区排水管网情况纳入全市地下管线地理信息系统，探索建立管网健康度排查长效机制。</w:t>
      </w:r>
    </w:p>
    <w:p>
      <w:pPr>
        <w:spacing w:line="560" w:lineRule="exact"/>
        <w:ind w:firstLine="640" w:firstLineChars="200"/>
        <w:jc w:val="left"/>
        <w:rPr>
          <w:rFonts w:ascii="仿宋_GB2312" w:eastAsia="仿宋_GB2312"/>
          <w:sz w:val="32"/>
          <w:szCs w:val="32"/>
        </w:rPr>
      </w:pPr>
      <w:r>
        <w:rPr>
          <w:rFonts w:hint="eastAsia" w:ascii="楷体_GB2312" w:eastAsia="楷体_GB2312"/>
          <w:sz w:val="32"/>
          <w:szCs w:val="32"/>
        </w:rPr>
        <w:t>（三）强化管网建设质量管控。</w:t>
      </w:r>
      <w:r>
        <w:rPr>
          <w:rFonts w:hint="eastAsia" w:ascii="仿宋_GB2312" w:eastAsia="仿宋_GB2312"/>
          <w:sz w:val="32"/>
          <w:szCs w:val="32"/>
        </w:rPr>
        <w:t>严格执行《关于提高我市市政污水管道设计和施工质量的通知》，提高污水管道设计要求，并加强施工过程质量管控。市政污水管道在设计时要充分考虑水文、工程地质状况，要求对管道基础地基承载力在80KPa以下的地基进行加固处理、对管网各连接口进行防沉降差处理等技术措施。加强市政污水管道工程材料质量控制，管材、窨井盖、成品窨井等材料进场应进行见证取样检测；严格控制污水管道回填覆土材料及压实质量；各级质量监督机构不定期对污水管道工程的材料质量进行随机抽检，加强污水管道工程阶段性验收和市政工程竣工验收的监督管理。</w:t>
      </w:r>
    </w:p>
    <w:p>
      <w:pPr>
        <w:spacing w:line="560" w:lineRule="exact"/>
        <w:ind w:firstLine="640" w:firstLineChars="200"/>
        <w:jc w:val="left"/>
        <w:rPr>
          <w:rFonts w:ascii="仿宋_GB2312" w:eastAsia="仿宋_GB2312"/>
          <w:sz w:val="32"/>
          <w:szCs w:val="32"/>
        </w:rPr>
      </w:pPr>
      <w:r>
        <w:rPr>
          <w:rFonts w:hint="eastAsia" w:ascii="楷体_GB2312" w:eastAsia="楷体_GB2312"/>
          <w:sz w:val="32"/>
          <w:szCs w:val="32"/>
        </w:rPr>
        <w:t>（四）提升城镇污水管网运维管理水平。</w:t>
      </w:r>
      <w:r>
        <w:rPr>
          <w:rFonts w:hint="eastAsia" w:ascii="仿宋_GB2312" w:eastAsia="仿宋_GB2312"/>
          <w:sz w:val="32"/>
          <w:szCs w:val="32"/>
        </w:rPr>
        <w:t>建立污水管网日常巡查清淤管理机制，加强污水管网养护，确保污水管网、泵站设施完好；严格执行污水排入排水管网许可制度，加强批后监督管理，对重点排水户的污水水质、水量进行监测，减少污水管网事故发生。</w:t>
      </w:r>
      <w:r>
        <w:rPr>
          <w:rFonts w:hint="eastAsia" w:ascii="仿宋_GB2312" w:eastAsia="仿宋_GB2312"/>
          <w:sz w:val="32"/>
          <w:szCs w:val="32"/>
        </w:rPr>
        <w:cr/>
      </w:r>
      <w:r>
        <w:rPr>
          <w:rFonts w:hint="eastAsia" w:ascii="仿宋_GB2312" w:eastAsia="仿宋_GB2312"/>
          <w:sz w:val="32"/>
          <w:szCs w:val="32"/>
        </w:rPr>
        <w:t xml:space="preserve">     </w:t>
      </w:r>
      <w:r>
        <w:rPr>
          <w:rFonts w:hint="eastAsia" w:ascii="黑体" w:hAnsi="黑体" w:eastAsia="黑体"/>
          <w:sz w:val="32"/>
          <w:szCs w:val="32"/>
        </w:rPr>
        <w:t>三、工作要求</w:t>
      </w:r>
    </w:p>
    <w:p>
      <w:pPr>
        <w:spacing w:line="560" w:lineRule="exact"/>
        <w:ind w:firstLine="640" w:firstLineChars="200"/>
        <w:jc w:val="left"/>
        <w:rPr>
          <w:rFonts w:ascii="仿宋_GB2312" w:eastAsia="仿宋_GB2312"/>
          <w:sz w:val="32"/>
          <w:szCs w:val="32"/>
        </w:rPr>
      </w:pPr>
      <w:r>
        <w:rPr>
          <w:rFonts w:hint="eastAsia" w:ascii="楷体_GB2312" w:eastAsia="楷体_GB2312"/>
          <w:sz w:val="32"/>
          <w:szCs w:val="32"/>
        </w:rPr>
        <w:t>（一）高度重视，加强组织领导。</w:t>
      </w:r>
      <w:r>
        <w:rPr>
          <w:rFonts w:hint="eastAsia" w:ascii="仿宋_GB2312" w:eastAsia="仿宋_GB2312"/>
          <w:sz w:val="32"/>
          <w:szCs w:val="32"/>
        </w:rPr>
        <w:t>要充分认识城镇污水管网提升改造工作的重要性，切实加强组织领导，将城镇污水管网提升改造工作纳入城乡环境综合整治年度考核，督促各责任单位按照年度工作目标精心组织、细化计划、明确节点、狠抓落实。</w:t>
      </w:r>
    </w:p>
    <w:p>
      <w:pPr>
        <w:spacing w:line="560" w:lineRule="exact"/>
        <w:ind w:firstLine="640" w:firstLineChars="200"/>
        <w:jc w:val="left"/>
        <w:rPr>
          <w:rFonts w:ascii="仿宋_GB2312" w:eastAsia="仿宋_GB2312"/>
          <w:sz w:val="32"/>
          <w:szCs w:val="32"/>
        </w:rPr>
      </w:pPr>
      <w:r>
        <w:rPr>
          <w:rFonts w:hint="eastAsia" w:ascii="楷体_GB2312" w:eastAsia="楷体_GB2312"/>
          <w:sz w:val="32"/>
          <w:szCs w:val="32"/>
        </w:rPr>
        <w:t>（二）部门联动，形成工作合力。</w:t>
      </w:r>
      <w:r>
        <w:rPr>
          <w:rFonts w:hint="eastAsia" w:ascii="仿宋_GB2312" w:eastAsia="仿宋_GB2312"/>
          <w:sz w:val="32"/>
          <w:szCs w:val="32"/>
        </w:rPr>
        <w:t>要充分发挥各自职能优势，加强沟通，紧密配合，形成工作合力，有效推进城镇污水管网提升改造工作。县住建局、县综合行政执法局要加强沟通，协同推进重要路段、重点区域污水管网提升改造；县综合行政执法局要加强对城区排水管网的日常运维管养，定期开展排查检测；县住建局要统筹推进城镇污水配套管网建设，扩大污水收集范围；县交警大队做好施工期间交通组织；各施工单位加强与项目所在乡镇、社区及周边居民的联系沟通，稳步推进项目建设；其他部门各司其</w:t>
      </w:r>
      <w:r>
        <w:rPr>
          <w:rFonts w:hint="eastAsia" w:ascii="仿宋_GB2312" w:eastAsia="仿宋_GB2312"/>
          <w:sz w:val="32"/>
          <w:szCs w:val="32"/>
          <w:lang w:val="en-US" w:eastAsia="zh-CN"/>
        </w:rPr>
        <w:t>职</w:t>
      </w:r>
      <w:r>
        <w:rPr>
          <w:rFonts w:hint="eastAsia" w:ascii="仿宋_GB2312" w:eastAsia="仿宋_GB2312"/>
          <w:sz w:val="32"/>
          <w:szCs w:val="32"/>
        </w:rPr>
        <w:t>，共同推进。</w:t>
      </w:r>
    </w:p>
    <w:p>
      <w:pPr>
        <w:spacing w:line="560" w:lineRule="exact"/>
        <w:ind w:firstLine="640" w:firstLineChars="200"/>
        <w:jc w:val="left"/>
        <w:rPr>
          <w:rFonts w:ascii="仿宋_GB2312" w:eastAsia="仿宋_GB2312"/>
          <w:sz w:val="32"/>
          <w:szCs w:val="32"/>
        </w:rPr>
      </w:pPr>
      <w:r>
        <w:rPr>
          <w:rFonts w:hint="eastAsia" w:ascii="楷体_GB2312" w:eastAsia="楷体_GB2312"/>
          <w:sz w:val="32"/>
          <w:szCs w:val="32"/>
        </w:rPr>
        <w:t>（三）宣传引导，营造良好氛围。</w:t>
      </w:r>
      <w:r>
        <w:rPr>
          <w:rFonts w:hint="eastAsia" w:ascii="仿宋_GB2312" w:eastAsia="仿宋_GB2312"/>
          <w:sz w:val="32"/>
          <w:szCs w:val="32"/>
        </w:rPr>
        <w:t>要加大宣传和引导力度，争取民众对城镇污水管网提升改造工作的支持，对施工期间造成的不便予以谅解；同时充分发挥新闻媒体的宣传监督作用，督促各责任单位按期施工，尽早完成，减少对民众出行影响；积极形成共同参与、公众满意的良好氛围。</w:t>
      </w: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附件7</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岱山县2022年装修垃圾规范处置行动</w:t>
      </w:r>
    </w:p>
    <w:p>
      <w:pPr>
        <w:spacing w:line="560" w:lineRule="exact"/>
        <w:jc w:val="center"/>
        <w:rPr>
          <w:rFonts w:ascii="仿宋_GB2312" w:eastAsia="仿宋_GB2312"/>
          <w:sz w:val="32"/>
          <w:szCs w:val="32"/>
        </w:rPr>
      </w:pPr>
      <w:r>
        <w:rPr>
          <w:rFonts w:hint="eastAsia" w:ascii="方正小标宋简体" w:eastAsia="方正小标宋简体"/>
          <w:sz w:val="44"/>
          <w:szCs w:val="44"/>
        </w:rPr>
        <w:t>实施方案</w:t>
      </w:r>
      <w:r>
        <w:rPr>
          <w:rFonts w:hint="eastAsia" w:ascii="方正小标宋简体" w:eastAsia="方正小标宋简体"/>
          <w:sz w:val="44"/>
          <w:szCs w:val="44"/>
        </w:rPr>
        <w:cr/>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ascii="仿宋_GB2312" w:eastAsia="仿宋_GB2312"/>
          <w:sz w:val="32"/>
          <w:szCs w:val="32"/>
        </w:rPr>
        <w:t>为进一步提高装修垃圾规范化处置水平，根据《</w:t>
      </w:r>
      <w:r>
        <w:rPr>
          <w:rFonts w:hint="eastAsia" w:ascii="仿宋_GB2312" w:eastAsia="仿宋_GB2312"/>
          <w:sz w:val="32"/>
          <w:szCs w:val="32"/>
        </w:rPr>
        <w:t>岱山县2022年城乡环境综合整治提升行动实施方案</w:t>
      </w:r>
      <w:r>
        <w:rPr>
          <w:rFonts w:ascii="仿宋_GB2312" w:eastAsia="仿宋_GB2312"/>
          <w:sz w:val="32"/>
          <w:szCs w:val="32"/>
        </w:rPr>
        <w:t>》相关要求，制定本实施方案。</w:t>
      </w:r>
    </w:p>
    <w:p>
      <w:pPr>
        <w:widowControl/>
        <w:spacing w:line="560" w:lineRule="exact"/>
        <w:ind w:firstLine="640" w:firstLineChars="200"/>
        <w:jc w:val="left"/>
        <w:rPr>
          <w:rFonts w:ascii="黑体" w:hAnsi="黑体" w:eastAsia="黑体"/>
          <w:sz w:val="32"/>
          <w:szCs w:val="32"/>
        </w:rPr>
      </w:pPr>
      <w:r>
        <w:rPr>
          <w:rFonts w:ascii="黑体" w:hAnsi="黑体" w:eastAsia="黑体"/>
          <w:sz w:val="32"/>
          <w:szCs w:val="32"/>
        </w:rPr>
        <w:t>一、工作目标</w:t>
      </w:r>
    </w:p>
    <w:p>
      <w:pPr>
        <w:widowControl/>
        <w:spacing w:line="560" w:lineRule="exact"/>
        <w:ind w:firstLine="640" w:firstLineChars="200"/>
        <w:jc w:val="left"/>
        <w:rPr>
          <w:rFonts w:ascii="仿宋_GB2312" w:eastAsia="仿宋_GB2312"/>
          <w:sz w:val="32"/>
          <w:szCs w:val="32"/>
        </w:rPr>
      </w:pPr>
      <w:r>
        <w:rPr>
          <w:rFonts w:ascii="仿宋_GB2312" w:eastAsia="仿宋_GB2312"/>
          <w:sz w:val="32"/>
          <w:szCs w:val="32"/>
        </w:rPr>
        <w:t>以装修垃圾投放点设置数量不足、收运环节违法乱倒、分拣中转场地建设不标准、处置流程不规范等问题为整治导向，通过新建、改（扩）建、提升改造居民小区（城中村）、渔农村装修垃圾投放点，规范收运流程，完善分拣中转场地设施设备，提高资源化综合利用水平，引入数智治理，实现装修垃圾源头管控、收运中转、消纳利用全过程数字化、精细化闭环管理，杜绝装修垃圾违法偷排乱倒行动，提升城市品质。2022年提升改造4</w:t>
      </w:r>
      <w:r>
        <w:rPr>
          <w:rFonts w:hint="eastAsia" w:ascii="仿宋_GB2312" w:eastAsia="仿宋_GB2312"/>
          <w:sz w:val="32"/>
          <w:szCs w:val="32"/>
        </w:rPr>
        <w:t>3</w:t>
      </w:r>
      <w:r>
        <w:rPr>
          <w:rFonts w:ascii="仿宋_GB2312" w:eastAsia="仿宋_GB2312"/>
          <w:sz w:val="32"/>
          <w:szCs w:val="32"/>
        </w:rPr>
        <w:t>个装修垃圾投放点，标准化改造</w:t>
      </w:r>
      <w:r>
        <w:rPr>
          <w:rFonts w:hint="eastAsia" w:ascii="仿宋_GB2312" w:eastAsia="仿宋_GB2312"/>
          <w:sz w:val="32"/>
          <w:szCs w:val="32"/>
        </w:rPr>
        <w:t>1</w:t>
      </w:r>
      <w:r>
        <w:rPr>
          <w:rFonts w:ascii="仿宋_GB2312" w:eastAsia="仿宋_GB2312"/>
          <w:sz w:val="32"/>
          <w:szCs w:val="32"/>
        </w:rPr>
        <w:t>个装修垃圾分拣中转场地和</w:t>
      </w:r>
      <w:r>
        <w:rPr>
          <w:rFonts w:hint="eastAsia" w:ascii="仿宋_GB2312" w:eastAsia="仿宋_GB2312"/>
          <w:sz w:val="32"/>
          <w:szCs w:val="32"/>
        </w:rPr>
        <w:t>6</w:t>
      </w:r>
      <w:r>
        <w:rPr>
          <w:rFonts w:ascii="仿宋_GB2312" w:eastAsia="仿宋_GB2312"/>
          <w:sz w:val="32"/>
          <w:szCs w:val="32"/>
        </w:rPr>
        <w:t>个装修垃圾集置点。</w:t>
      </w:r>
    </w:p>
    <w:p>
      <w:pPr>
        <w:widowControl/>
        <w:spacing w:line="560" w:lineRule="exact"/>
        <w:ind w:firstLine="640" w:firstLineChars="200"/>
        <w:jc w:val="left"/>
        <w:rPr>
          <w:rFonts w:ascii="黑体" w:hAnsi="黑体" w:eastAsia="黑体"/>
          <w:sz w:val="32"/>
          <w:szCs w:val="32"/>
        </w:rPr>
      </w:pPr>
      <w:r>
        <w:rPr>
          <w:rFonts w:ascii="黑体" w:hAnsi="黑体" w:eastAsia="黑体"/>
          <w:sz w:val="32"/>
          <w:szCs w:val="32"/>
        </w:rPr>
        <w:t>二、工作原则及任务数</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根据“按照每个县（区）、功能区至少设置一个装修垃圾分拣中转场地，城区每个居民小区设置一个投放点，渔农村每个乡镇（街道）设置一个集置点，每个行政村设置一个投放点”的原则，进行逐量规范和新增，</w:t>
      </w:r>
      <w:r>
        <w:rPr>
          <w:rFonts w:ascii="仿宋_GB2312" w:eastAsia="仿宋_GB2312"/>
          <w:sz w:val="32"/>
          <w:szCs w:val="32"/>
        </w:rPr>
        <w:t>2022年任务数如下：</w:t>
      </w:r>
    </w:p>
    <w:p>
      <w:pPr>
        <w:widowControl/>
        <w:spacing w:line="560" w:lineRule="exact"/>
        <w:ind w:firstLine="640" w:firstLineChars="200"/>
        <w:rPr>
          <w:rFonts w:ascii="仿宋_GB2312" w:eastAsia="仿宋_GB2312"/>
          <w:sz w:val="32"/>
          <w:szCs w:val="32"/>
        </w:rPr>
      </w:pPr>
      <w:r>
        <w:rPr>
          <w:rFonts w:ascii="仿宋_GB2312" w:eastAsia="仿宋_GB2312"/>
          <w:sz w:val="32"/>
          <w:szCs w:val="32"/>
        </w:rPr>
        <w:t>（一）装修垃圾投放点。居民小区（城中村）共规范提升13个（城中村2个）。渔农村共规范提升30个。</w:t>
      </w:r>
      <w:r>
        <w:rPr>
          <w:rFonts w:ascii="仿宋_GB2312" w:eastAsia="仿宋_GB2312"/>
          <w:sz w:val="32"/>
          <w:szCs w:val="32"/>
        </w:rPr>
        <w:br w:type="textWrapping"/>
      </w:r>
      <w:r>
        <w:rPr>
          <w:rFonts w:hint="eastAsia" w:ascii="仿宋_GB2312" w:eastAsia="仿宋_GB2312"/>
          <w:sz w:val="32"/>
          <w:szCs w:val="32"/>
        </w:rPr>
        <w:t xml:space="preserve">    </w:t>
      </w:r>
      <w:r>
        <w:rPr>
          <w:rFonts w:ascii="仿宋_GB2312" w:eastAsia="仿宋_GB2312"/>
          <w:sz w:val="32"/>
          <w:szCs w:val="32"/>
        </w:rPr>
        <w:t>（二）装修垃圾临时集置点。渔农村共规范提升</w:t>
      </w:r>
      <w:r>
        <w:rPr>
          <w:rFonts w:hint="eastAsia" w:ascii="仿宋_GB2312" w:eastAsia="仿宋_GB2312"/>
          <w:sz w:val="32"/>
          <w:szCs w:val="32"/>
        </w:rPr>
        <w:t>6</w:t>
      </w:r>
      <w:r>
        <w:rPr>
          <w:rFonts w:ascii="仿宋_GB2312" w:eastAsia="仿宋_GB2312"/>
          <w:sz w:val="32"/>
          <w:szCs w:val="32"/>
        </w:rPr>
        <w:t>个。</w:t>
      </w:r>
      <w:r>
        <w:rPr>
          <w:rFonts w:hint="eastAsia" w:ascii="仿宋_GB2312" w:eastAsia="仿宋_GB2312"/>
          <w:sz w:val="32"/>
          <w:szCs w:val="32"/>
        </w:rPr>
        <w:t xml:space="preserve"> </w:t>
      </w:r>
    </w:p>
    <w:p>
      <w:pPr>
        <w:widowControl/>
        <w:spacing w:line="560" w:lineRule="exact"/>
        <w:ind w:firstLine="640" w:firstLineChars="200"/>
        <w:rPr>
          <w:rFonts w:ascii="仿宋_GB2312" w:eastAsia="仿宋_GB2312"/>
          <w:sz w:val="32"/>
          <w:szCs w:val="32"/>
        </w:rPr>
      </w:pPr>
      <w:r>
        <w:rPr>
          <w:rFonts w:ascii="仿宋_GB2312" w:eastAsia="仿宋_GB2312"/>
          <w:sz w:val="32"/>
          <w:szCs w:val="32"/>
        </w:rPr>
        <w:t>（三）装修垃圾分拣中转场地。改（扩）建符合要求的装修垃圾分拣中转场地1座。</w:t>
      </w:r>
    </w:p>
    <w:p>
      <w:pPr>
        <w:widowControl/>
        <w:spacing w:line="560" w:lineRule="exact"/>
        <w:ind w:firstLine="640" w:firstLineChars="200"/>
        <w:rPr>
          <w:rFonts w:ascii="仿宋_GB2312" w:eastAsia="仿宋_GB2312"/>
          <w:sz w:val="32"/>
          <w:szCs w:val="32"/>
        </w:rPr>
      </w:pPr>
      <w:r>
        <w:rPr>
          <w:rFonts w:ascii="仿宋_GB2312" w:eastAsia="仿宋_GB2312"/>
          <w:sz w:val="32"/>
          <w:szCs w:val="32"/>
        </w:rPr>
        <w:t>（四）装修垃圾收运车辆。岱山县内所有从事装修垃圾的收运车辆。</w:t>
      </w:r>
      <w:r>
        <w:rPr>
          <w:rFonts w:ascii="仿宋_GB2312" w:eastAsia="仿宋_GB2312"/>
          <w:sz w:val="32"/>
          <w:szCs w:val="32"/>
        </w:rPr>
        <w:br w:type="textWrapping"/>
      </w:r>
      <w:r>
        <w:rPr>
          <w:rFonts w:hint="eastAsia" w:ascii="黑体" w:hAnsi="黑体" w:eastAsia="黑体"/>
          <w:sz w:val="32"/>
          <w:szCs w:val="32"/>
        </w:rPr>
        <w:t xml:space="preserve">    </w:t>
      </w:r>
      <w:r>
        <w:rPr>
          <w:rFonts w:ascii="黑体" w:hAnsi="黑体" w:eastAsia="黑体"/>
          <w:sz w:val="32"/>
          <w:szCs w:val="32"/>
        </w:rPr>
        <w:t>三、工作任务</w:t>
      </w:r>
    </w:p>
    <w:p>
      <w:pPr>
        <w:widowControl/>
        <w:spacing w:line="560" w:lineRule="exact"/>
        <w:ind w:firstLine="640" w:firstLineChars="200"/>
        <w:rPr>
          <w:rFonts w:ascii="仿宋_GB2312" w:eastAsia="仿宋_GB2312"/>
          <w:sz w:val="32"/>
          <w:szCs w:val="32"/>
        </w:rPr>
      </w:pPr>
      <w:r>
        <w:rPr>
          <w:rFonts w:hint="eastAsia" w:ascii="楷体_GB2312" w:eastAsia="楷体_GB2312"/>
          <w:sz w:val="32"/>
          <w:szCs w:val="32"/>
        </w:rPr>
        <w:t>（一）装修垃圾投放点提标改造。</w:t>
      </w:r>
      <w:r>
        <w:rPr>
          <w:rFonts w:ascii="仿宋_GB2312" w:eastAsia="仿宋_GB2312"/>
          <w:sz w:val="32"/>
          <w:szCs w:val="32"/>
        </w:rPr>
        <w:t>要按照《城镇居住小区垃圾投放设施及再生资源回收站规划建设管理指导意见》（舟城镇分类办（2019）25号）要求，对照居民小区装修垃圾投放点是否符合指导意见明确的规划建设标准和管理规范，通过新建、改（扩）建、提升改造居民小区装修垃圾投放点。居民小区装修垃圾实行分类投放，按成份类别分为装修硬垃圾、装修软垃圾、大件垃圾三类，装修垃圾投放点设置分类投放标志及提示牌，根据居民投放需要确定开放时间。居民小区确实无法设置装修垃圾投放点的，可采用预约上门收运方式收集，同时为提高居民小区环境品质，居民小区公共区域不允许临时堆放装修垃圾。渔农村范围内行政村的装修垃圾投放点改造提升和管理规范可参照执行，并符合县农业农村局的相关管理要求。</w:t>
      </w:r>
    </w:p>
    <w:p>
      <w:pPr>
        <w:pStyle w:val="26"/>
      </w:pPr>
      <w:r>
        <w:rPr>
          <w:rFonts w:ascii="楷体_GB2312" w:eastAsia="楷体_GB2312"/>
          <w:sz w:val="32"/>
          <w:szCs w:val="32"/>
        </w:rPr>
        <w:t>（二）规范管理装修垃圾清运流程。</w:t>
      </w:r>
      <w:r>
        <w:rPr>
          <w:rFonts w:ascii="仿宋_GB2312" w:eastAsia="仿宋_GB2312"/>
          <w:sz w:val="32"/>
          <w:szCs w:val="32"/>
        </w:rPr>
        <w:t>装修垃圾收运车辆按照建筑垃圾运输车辆管理要求执行，运输单位应当依法申请办理建筑垃圾清运核准，车辆清运装修垃圾时，必须随车携带装修垃圾清运核准文件，按照规定的运输时间、路线运行，不得超载超限运输；运输车辆应具备全密闭运输机械装置或</w:t>
      </w:r>
      <w:r>
        <w:rPr>
          <w:rFonts w:hint="eastAsia" w:ascii="仿宋_GB2312" w:eastAsia="仿宋_GB2312"/>
          <w:sz w:val="32"/>
          <w:szCs w:val="32"/>
        </w:rPr>
        <w:t>密</w:t>
      </w:r>
      <w:r>
        <w:rPr>
          <w:rFonts w:hint="eastAsia" w:ascii="仿宋_GB2312" w:eastAsia="仿宋_GB2312"/>
          <w:color w:val="FF0000"/>
          <w:sz w:val="32"/>
          <w:szCs w:val="32"/>
        </w:rPr>
        <w:t>苫</w:t>
      </w:r>
      <w:r>
        <w:rPr>
          <w:rFonts w:hint="eastAsia" w:ascii="仿宋_GB2312" w:eastAsia="仿宋_GB2312"/>
          <w:sz w:val="32"/>
          <w:szCs w:val="32"/>
        </w:rPr>
        <w:t>盖装置</w:t>
      </w:r>
      <w:r>
        <w:rPr>
          <w:rFonts w:ascii="仿宋_GB2312" w:eastAsia="仿宋_GB2312"/>
          <w:sz w:val="32"/>
          <w:szCs w:val="32"/>
        </w:rPr>
        <w:t>、安装行驶及装卸记录仪和相应的装修垃圾分类运输设备。</w:t>
      </w:r>
    </w:p>
    <w:p>
      <w:pPr>
        <w:widowControl/>
        <w:spacing w:line="560" w:lineRule="exact"/>
        <w:ind w:firstLine="640" w:firstLineChars="200"/>
        <w:rPr>
          <w:rFonts w:ascii="仿宋_GB2312" w:eastAsia="仿宋_GB2312"/>
          <w:sz w:val="32"/>
          <w:szCs w:val="32"/>
        </w:rPr>
      </w:pPr>
      <w:r>
        <w:rPr>
          <w:rFonts w:ascii="楷体_GB2312" w:eastAsia="楷体_GB2312"/>
          <w:sz w:val="32"/>
          <w:szCs w:val="32"/>
        </w:rPr>
        <w:t>（三）标准化建设分练中转场地。</w:t>
      </w:r>
      <w:r>
        <w:rPr>
          <w:rFonts w:ascii="仿宋_GB2312" w:eastAsia="仿宋_GB2312"/>
          <w:sz w:val="32"/>
          <w:szCs w:val="32"/>
        </w:rPr>
        <w:t>装修垃圾分拣中转场设施建设应符合《建筑垃圾处理技术标准》（CJJ/T134-2019）要求，主体设施包括围挡设施、分类堆放区、场区道路、排水系统、地基处理，防火、防尘、降噪措施等。装修垃圾分拣中转场地实行分类管理、集中处置，对装修垃圾进行二次分拣，主要分为装修硬垃圾（包括水泥、沙子、砖块、瓷砖、混凝土碎块等）、装修软垃圾（包括木花、木屑、碎板、碎木条、软管墙纸等）、大件垃圾（包括床、床垫、沙发、木制家具等）、有毒有害垃圾（油漆桶、废灯管等），提高装修垃圾分类成效，最大限度实现资源化利用和无害化处置。渔</w:t>
      </w:r>
    </w:p>
    <w:p>
      <w:pPr>
        <w:widowControl/>
        <w:spacing w:line="560" w:lineRule="exact"/>
        <w:rPr>
          <w:rFonts w:ascii="仿宋_GB2312" w:eastAsia="仿宋_GB2312"/>
          <w:sz w:val="32"/>
          <w:szCs w:val="32"/>
        </w:rPr>
      </w:pPr>
      <w:r>
        <w:rPr>
          <w:rFonts w:ascii="仿宋_GB2312" w:eastAsia="仿宋_GB2312"/>
          <w:sz w:val="32"/>
          <w:szCs w:val="32"/>
        </w:rPr>
        <w:t>农村装修垃圾集置点改造提升和管理规范可参照执行，并符合县农业农村局的相关管理要求。</w:t>
      </w:r>
    </w:p>
    <w:p>
      <w:pPr>
        <w:widowControl/>
        <w:spacing w:line="560" w:lineRule="exact"/>
        <w:ind w:firstLine="640" w:firstLineChars="200"/>
        <w:rPr>
          <w:rFonts w:ascii="仿宋_GB2312" w:eastAsia="仿宋_GB2312"/>
          <w:sz w:val="32"/>
          <w:szCs w:val="32"/>
        </w:rPr>
      </w:pPr>
      <w:r>
        <w:rPr>
          <w:rFonts w:ascii="楷体_GB2312" w:eastAsia="楷体_GB2312"/>
          <w:sz w:val="32"/>
          <w:szCs w:val="32"/>
        </w:rPr>
        <w:t>（四）物尽其用提高综合利用水平。</w:t>
      </w:r>
      <w:r>
        <w:rPr>
          <w:rFonts w:ascii="仿宋_GB2312" w:eastAsia="仿宋_GB2312"/>
          <w:sz w:val="32"/>
          <w:szCs w:val="32"/>
        </w:rPr>
        <w:t>按照装修垃圾成份进行分类利用。分拣出来的装修硬垃圾交由建筑垃圾资源化利用处置企业进行处置。装修软垃圾中可回收利用的金属类、塑料类、玻璃类进入再生资源回收利用体系；板材类、植物类进入绿化废弃物资源化利用体系；无法利用的装修软垃圾要按照《生活垃圾焚烧发电厂装修垃圾进厂处置标准》进行破碎、分割，达到标准规格后，纳入生活垃圾焚烧处理设施协同处置。对有毒有害垃圾进行统一收集，交由具备相应处置能力的单位进行无害化处置。</w:t>
      </w:r>
      <w:r>
        <w:rPr>
          <w:rFonts w:ascii="仿宋_GB2312" w:eastAsia="仿宋_GB2312"/>
          <w:sz w:val="32"/>
          <w:szCs w:val="32"/>
        </w:rPr>
        <w:br w:type="textWrapping"/>
      </w:r>
      <w:r>
        <w:rPr>
          <w:rFonts w:hint="eastAsia" w:ascii="仿宋_GB2312" w:eastAsia="仿宋_GB2312"/>
          <w:sz w:val="32"/>
          <w:szCs w:val="32"/>
        </w:rPr>
        <w:t xml:space="preserve">  </w:t>
      </w:r>
      <w:r>
        <w:rPr>
          <w:rFonts w:hint="eastAsia" w:ascii="黑体" w:hAnsi="黑体" w:eastAsia="黑体"/>
          <w:sz w:val="32"/>
          <w:szCs w:val="32"/>
        </w:rPr>
        <w:t xml:space="preserve">  </w:t>
      </w:r>
      <w:r>
        <w:rPr>
          <w:rFonts w:ascii="黑体" w:hAnsi="黑体" w:eastAsia="黑体"/>
          <w:sz w:val="32"/>
          <w:szCs w:val="32"/>
        </w:rPr>
        <w:t>四、实施步骤</w:t>
      </w:r>
      <w:r>
        <w:rPr>
          <w:rFonts w:ascii="仿宋_GB2312" w:eastAsia="仿宋_GB2312"/>
          <w:sz w:val="32"/>
          <w:szCs w:val="32"/>
        </w:rPr>
        <w:br w:type="textWrapping"/>
      </w:r>
      <w:r>
        <w:rPr>
          <w:rFonts w:hint="eastAsia" w:ascii="仿宋_GB2312" w:eastAsia="仿宋_GB2312"/>
          <w:sz w:val="32"/>
          <w:szCs w:val="32"/>
        </w:rPr>
        <w:t xml:space="preserve">   </w:t>
      </w:r>
      <w:r>
        <w:rPr>
          <w:rFonts w:hint="eastAsia" w:ascii="楷体_GB2312" w:eastAsia="楷体_GB2312"/>
          <w:sz w:val="32"/>
          <w:szCs w:val="32"/>
        </w:rPr>
        <w:t>（一）动员部署阶段（2022年4月底前）</w:t>
      </w:r>
      <w:r>
        <w:rPr>
          <w:rFonts w:ascii="仿宋_GB2312" w:eastAsia="仿宋_GB2312"/>
          <w:sz w:val="32"/>
          <w:szCs w:val="32"/>
        </w:rPr>
        <w:t>。全面动员部署，落实责任主体。根据《实施方案》要求，细化行动方案，逐项列出进度清单，制定月度实施计划，确定责任人及联络员，确保每项工作有目标、有进度。</w:t>
      </w:r>
    </w:p>
    <w:p>
      <w:pPr>
        <w:widowControl/>
        <w:spacing w:line="560" w:lineRule="exact"/>
        <w:ind w:firstLine="640" w:firstLineChars="200"/>
        <w:rPr>
          <w:rFonts w:ascii="仿宋_GB2312" w:eastAsia="仿宋_GB2312"/>
          <w:sz w:val="32"/>
          <w:szCs w:val="32"/>
        </w:rPr>
      </w:pPr>
      <w:r>
        <w:rPr>
          <w:rFonts w:ascii="楷体_GB2312" w:eastAsia="楷体_GB2312"/>
          <w:sz w:val="32"/>
          <w:szCs w:val="32"/>
        </w:rPr>
        <w:t>（二）集中实施阶段（2022年</w:t>
      </w:r>
      <w:r>
        <w:rPr>
          <w:rFonts w:hint="eastAsia" w:ascii="楷体_GB2312" w:eastAsia="楷体_GB2312"/>
          <w:sz w:val="32"/>
          <w:szCs w:val="32"/>
        </w:rPr>
        <w:t>5</w:t>
      </w:r>
      <w:r>
        <w:rPr>
          <w:rFonts w:ascii="楷体_GB2312" w:eastAsia="楷体_GB2312"/>
          <w:sz w:val="32"/>
          <w:szCs w:val="32"/>
        </w:rPr>
        <w:t>月至11月）</w:t>
      </w:r>
      <w:r>
        <w:rPr>
          <w:rFonts w:ascii="仿宋_GB2312" w:eastAsia="仿宋_GB2312"/>
          <w:sz w:val="32"/>
          <w:szCs w:val="32"/>
        </w:rPr>
        <w:t>。根据行动方案，严格按照月度实施计划，全力推进行动开展。6月底前完成总任务的50％以上，第三季度末完成75％，第四季度11月底前全部完成。行动期间实行工作进展月报告制度，各责任单位要在每月</w:t>
      </w:r>
      <w:r>
        <w:rPr>
          <w:rFonts w:hint="eastAsia" w:ascii="仿宋_GB2312" w:eastAsia="仿宋_GB2312"/>
          <w:sz w:val="32"/>
          <w:szCs w:val="32"/>
        </w:rPr>
        <w:t>18</w:t>
      </w:r>
      <w:r>
        <w:rPr>
          <w:rFonts w:ascii="仿宋_GB2312" w:eastAsia="仿宋_GB2312"/>
          <w:sz w:val="32"/>
          <w:szCs w:val="32"/>
        </w:rPr>
        <w:t>日前向县整治办报送提升行动进展情况。</w:t>
      </w:r>
    </w:p>
    <w:p>
      <w:pPr>
        <w:widowControl/>
        <w:spacing w:line="560" w:lineRule="exact"/>
        <w:ind w:firstLine="640" w:firstLineChars="200"/>
        <w:rPr>
          <w:rFonts w:ascii="仿宋_GB2312" w:eastAsia="仿宋_GB2312"/>
          <w:sz w:val="32"/>
          <w:szCs w:val="32"/>
        </w:rPr>
      </w:pPr>
      <w:r>
        <w:rPr>
          <w:rFonts w:ascii="楷体_GB2312" w:eastAsia="楷体_GB2312"/>
          <w:sz w:val="32"/>
          <w:szCs w:val="32"/>
        </w:rPr>
        <w:t>（三）自查验收阶段（2022年12月中）</w:t>
      </w:r>
      <w:r>
        <w:rPr>
          <w:rFonts w:ascii="仿宋_GB2312" w:eastAsia="仿宋_GB2312"/>
          <w:sz w:val="32"/>
          <w:szCs w:val="32"/>
        </w:rPr>
        <w:t>。由县整治办</w:t>
      </w:r>
      <w:r>
        <w:rPr>
          <w:rFonts w:ascii="仿宋_GB2312" w:eastAsia="仿宋_GB2312"/>
          <w:sz w:val="32"/>
          <w:szCs w:val="32"/>
        </w:rPr>
        <w:br w:type="textWrapping"/>
      </w:r>
      <w:r>
        <w:rPr>
          <w:rFonts w:ascii="仿宋_GB2312" w:eastAsia="仿宋_GB2312"/>
          <w:sz w:val="32"/>
          <w:szCs w:val="32"/>
        </w:rPr>
        <w:t>领导小组办公室组织各责任单位，对装修垃圾规范处置行动</w:t>
      </w:r>
      <w:r>
        <w:rPr>
          <w:rFonts w:ascii="仿宋_GB2312" w:eastAsia="仿宋_GB2312"/>
          <w:sz w:val="32"/>
          <w:szCs w:val="32"/>
        </w:rPr>
        <w:br w:type="textWrapping"/>
      </w:r>
      <w:r>
        <w:rPr>
          <w:rFonts w:ascii="仿宋_GB2312" w:eastAsia="仿宋_GB2312"/>
          <w:sz w:val="32"/>
          <w:szCs w:val="32"/>
        </w:rPr>
        <w:t>实际效果进行自查考核，做好各项迎检准备工作。</w:t>
      </w:r>
      <w:r>
        <w:rPr>
          <w:rFonts w:ascii="仿宋_GB2312" w:eastAsia="仿宋_GB2312"/>
          <w:sz w:val="32"/>
          <w:szCs w:val="32"/>
        </w:rPr>
        <w:br w:type="textWrapping"/>
      </w:r>
      <w:r>
        <w:rPr>
          <w:rFonts w:hint="eastAsia" w:ascii="黑体" w:hAnsi="黑体" w:eastAsia="黑体"/>
          <w:sz w:val="32"/>
          <w:szCs w:val="32"/>
        </w:rPr>
        <w:t xml:space="preserve">    </w:t>
      </w:r>
      <w:r>
        <w:rPr>
          <w:rFonts w:ascii="黑体" w:hAnsi="黑体" w:eastAsia="黑体"/>
          <w:sz w:val="32"/>
          <w:szCs w:val="32"/>
        </w:rPr>
        <w:t>五、职责分工</w:t>
      </w:r>
    </w:p>
    <w:p>
      <w:pPr>
        <w:widowControl/>
        <w:spacing w:line="560" w:lineRule="exact"/>
        <w:ind w:firstLine="643" w:firstLineChars="200"/>
        <w:rPr>
          <w:rFonts w:ascii="仿宋_GB2312" w:eastAsia="仿宋_GB2312"/>
          <w:sz w:val="32"/>
          <w:szCs w:val="32"/>
        </w:rPr>
      </w:pPr>
      <w:r>
        <w:rPr>
          <w:rFonts w:ascii="仿宋_GB2312" w:eastAsia="仿宋_GB2312"/>
          <w:b/>
          <w:sz w:val="32"/>
          <w:szCs w:val="32"/>
        </w:rPr>
        <w:t>县公安局：</w:t>
      </w:r>
      <w:r>
        <w:rPr>
          <w:rFonts w:ascii="仿宋_GB2312" w:eastAsia="仿宋_GB2312"/>
          <w:sz w:val="32"/>
          <w:szCs w:val="32"/>
        </w:rPr>
        <w:t>负责核定限行区内装修垃圾装运车辆行驶路</w:t>
      </w:r>
      <w:r>
        <w:rPr>
          <w:rFonts w:ascii="仿宋_GB2312" w:eastAsia="仿宋_GB2312"/>
          <w:sz w:val="32"/>
          <w:szCs w:val="32"/>
        </w:rPr>
        <w:br w:type="textWrapping"/>
      </w:r>
      <w:r>
        <w:rPr>
          <w:rFonts w:ascii="仿宋_GB2312" w:eastAsia="仿宋_GB2312"/>
          <w:sz w:val="32"/>
          <w:szCs w:val="32"/>
        </w:rPr>
        <w:t>线，依法查处不按指定路线行驶、超载、非法改装等违反道</w:t>
      </w:r>
      <w:r>
        <w:rPr>
          <w:rFonts w:ascii="仿宋_GB2312" w:eastAsia="仿宋_GB2312"/>
          <w:sz w:val="32"/>
          <w:szCs w:val="32"/>
        </w:rPr>
        <w:br w:type="textWrapping"/>
      </w:r>
      <w:r>
        <w:rPr>
          <w:rFonts w:ascii="仿宋_GB2312" w:eastAsia="仿宋_GB2312"/>
          <w:sz w:val="32"/>
          <w:szCs w:val="32"/>
        </w:rPr>
        <w:t>路交通安全的行为；配合牵头单位开展检查工作。</w:t>
      </w:r>
    </w:p>
    <w:p>
      <w:pPr>
        <w:widowControl/>
        <w:spacing w:line="560" w:lineRule="exact"/>
        <w:ind w:firstLine="643" w:firstLineChars="200"/>
        <w:rPr>
          <w:rFonts w:ascii="仿宋_GB2312" w:eastAsia="仿宋_GB2312"/>
          <w:sz w:val="32"/>
          <w:szCs w:val="32"/>
        </w:rPr>
      </w:pPr>
      <w:r>
        <w:rPr>
          <w:rFonts w:ascii="仿宋_GB2312" w:eastAsia="仿宋_GB2312"/>
          <w:b/>
          <w:sz w:val="32"/>
          <w:szCs w:val="32"/>
        </w:rPr>
        <w:t>县自然资源和规划局：</w:t>
      </w:r>
      <w:r>
        <w:rPr>
          <w:rFonts w:ascii="仿宋_GB2312" w:eastAsia="仿宋_GB2312"/>
          <w:sz w:val="32"/>
          <w:szCs w:val="32"/>
        </w:rPr>
        <w:t>负责核准、核查涉及资源规划部门领域的装修垃圾投放点、集置点、中转场地、消纳处置场所土地及用途证明，依法查处违法用地；配合牵头单位开展检查工作。</w:t>
      </w:r>
    </w:p>
    <w:p>
      <w:pPr>
        <w:widowControl/>
        <w:spacing w:line="560" w:lineRule="exact"/>
        <w:ind w:firstLine="643" w:firstLineChars="200"/>
        <w:rPr>
          <w:rFonts w:ascii="仿宋_GB2312" w:eastAsia="仿宋_GB2312"/>
          <w:sz w:val="32"/>
          <w:szCs w:val="32"/>
        </w:rPr>
      </w:pPr>
      <w:r>
        <w:rPr>
          <w:rFonts w:ascii="仿宋_GB2312" w:eastAsia="仿宋_GB2312"/>
          <w:b/>
          <w:sz w:val="32"/>
          <w:szCs w:val="32"/>
        </w:rPr>
        <w:t>县住建局：</w:t>
      </w:r>
      <w:r>
        <w:rPr>
          <w:rFonts w:ascii="仿宋_GB2312" w:eastAsia="仿宋_GB2312"/>
          <w:sz w:val="32"/>
          <w:szCs w:val="32"/>
        </w:rPr>
        <w:t>负责协调督促物业服务企业支持配合开展装</w:t>
      </w:r>
      <w:r>
        <w:rPr>
          <w:rFonts w:ascii="仿宋_GB2312" w:eastAsia="仿宋_GB2312"/>
          <w:sz w:val="32"/>
          <w:szCs w:val="32"/>
        </w:rPr>
        <w:br w:type="textWrapping"/>
      </w:r>
      <w:r>
        <w:rPr>
          <w:rFonts w:ascii="仿宋_GB2312" w:eastAsia="仿宋_GB2312"/>
          <w:sz w:val="32"/>
          <w:szCs w:val="32"/>
        </w:rPr>
        <w:t>修垃圾规范处置行动，落实物业服务企业对装修垃圾投放点</w:t>
      </w:r>
      <w:r>
        <w:rPr>
          <w:rFonts w:ascii="仿宋_GB2312" w:eastAsia="仿宋_GB2312"/>
          <w:sz w:val="32"/>
          <w:szCs w:val="32"/>
        </w:rPr>
        <w:br w:type="textWrapping"/>
      </w:r>
      <w:r>
        <w:rPr>
          <w:rFonts w:ascii="仿宋_GB2312" w:eastAsia="仿宋_GB2312"/>
          <w:sz w:val="32"/>
          <w:szCs w:val="32"/>
        </w:rPr>
        <w:t>的运行维护和管理责任；配合牵头单位开展检查工作。</w:t>
      </w:r>
    </w:p>
    <w:p>
      <w:pPr>
        <w:widowControl/>
        <w:spacing w:line="560" w:lineRule="exact"/>
        <w:ind w:firstLine="643" w:firstLineChars="200"/>
        <w:rPr>
          <w:rFonts w:ascii="仿宋_GB2312" w:eastAsia="仿宋_GB2312"/>
          <w:sz w:val="32"/>
          <w:szCs w:val="32"/>
        </w:rPr>
      </w:pPr>
      <w:r>
        <w:rPr>
          <w:rFonts w:ascii="仿宋_GB2312" w:eastAsia="仿宋_GB2312"/>
          <w:b/>
          <w:sz w:val="32"/>
          <w:szCs w:val="32"/>
        </w:rPr>
        <w:t>县交通局：</w:t>
      </w:r>
      <w:r>
        <w:rPr>
          <w:rFonts w:ascii="仿宋_GB2312" w:eastAsia="仿宋_GB2312"/>
          <w:sz w:val="32"/>
          <w:szCs w:val="32"/>
        </w:rPr>
        <w:t>负责核查运输车辆（4.5吨以上）普通货物运输资质，依法查处运输车辆超限运输及车辆装载物触地拖行、掉落、遗撒或者飘散，造成公路路面损坏、污染的行为；配合牵头单位开展检查工作。</w:t>
      </w:r>
    </w:p>
    <w:p>
      <w:pPr>
        <w:widowControl/>
        <w:spacing w:line="560" w:lineRule="exact"/>
        <w:ind w:firstLine="643" w:firstLineChars="200"/>
        <w:rPr>
          <w:rFonts w:ascii="仿宋_GB2312" w:eastAsia="仿宋_GB2312"/>
          <w:sz w:val="32"/>
          <w:szCs w:val="32"/>
        </w:rPr>
      </w:pPr>
      <w:r>
        <w:rPr>
          <w:rFonts w:ascii="仿宋_GB2312" w:eastAsia="仿宋_GB2312"/>
          <w:b/>
          <w:sz w:val="32"/>
          <w:szCs w:val="32"/>
        </w:rPr>
        <w:t>县农业农村局：</w:t>
      </w:r>
      <w:r>
        <w:rPr>
          <w:rFonts w:ascii="仿宋_GB2312" w:eastAsia="仿宋_GB2312"/>
          <w:sz w:val="32"/>
          <w:szCs w:val="32"/>
        </w:rPr>
        <w:t>负责渔农村装修垃圾投放点、集置点整治推进工作，落实行动推进情况检查、督促工作。</w:t>
      </w:r>
    </w:p>
    <w:p>
      <w:pPr>
        <w:widowControl/>
        <w:spacing w:line="560" w:lineRule="exact"/>
        <w:ind w:firstLine="643" w:firstLineChars="200"/>
        <w:rPr>
          <w:rFonts w:ascii="仿宋_GB2312" w:eastAsia="仿宋_GB2312"/>
          <w:sz w:val="32"/>
          <w:szCs w:val="32"/>
        </w:rPr>
      </w:pPr>
      <w:r>
        <w:rPr>
          <w:rFonts w:ascii="仿宋_GB2312" w:eastAsia="仿宋_GB2312"/>
          <w:b/>
          <w:sz w:val="32"/>
          <w:szCs w:val="32"/>
        </w:rPr>
        <w:t>县综合行政执法局：</w:t>
      </w:r>
      <w:r>
        <w:rPr>
          <w:rFonts w:ascii="仿宋_GB2312" w:eastAsia="仿宋_GB2312"/>
          <w:sz w:val="32"/>
          <w:szCs w:val="32"/>
        </w:rPr>
        <w:t>为本次整治行动牵头单位，负责制定整治行动实施方案，根据实施方案，组织开展具体行动，及时查处涉及装修垃圾违法行为，建立完善长效管理机制。</w:t>
      </w:r>
    </w:p>
    <w:p>
      <w:pPr>
        <w:widowControl/>
        <w:spacing w:line="560" w:lineRule="exact"/>
        <w:ind w:firstLine="640" w:firstLineChars="200"/>
        <w:rPr>
          <w:rFonts w:ascii="仿宋_GB2312" w:eastAsia="仿宋_GB2312"/>
          <w:sz w:val="32"/>
          <w:szCs w:val="32"/>
        </w:rPr>
      </w:pPr>
      <w:r>
        <w:rPr>
          <w:rFonts w:ascii="黑体" w:hAnsi="黑体" w:eastAsia="黑体"/>
          <w:sz w:val="32"/>
          <w:szCs w:val="32"/>
        </w:rPr>
        <w:t>六、工作要求</w:t>
      </w:r>
    </w:p>
    <w:p>
      <w:pPr>
        <w:widowControl/>
        <w:spacing w:line="560" w:lineRule="exact"/>
        <w:ind w:firstLine="640" w:firstLineChars="200"/>
        <w:rPr>
          <w:rFonts w:ascii="仿宋_GB2312" w:eastAsia="仿宋_GB2312"/>
          <w:sz w:val="32"/>
          <w:szCs w:val="32"/>
        </w:rPr>
      </w:pPr>
      <w:r>
        <w:rPr>
          <w:rFonts w:hint="eastAsia" w:ascii="楷体_GB2312" w:eastAsia="楷体_GB2312"/>
          <w:sz w:val="32"/>
          <w:szCs w:val="32"/>
        </w:rPr>
        <w:t>（一）加强组织领导，周密细化部署。</w:t>
      </w:r>
      <w:r>
        <w:rPr>
          <w:rFonts w:ascii="仿宋_GB2312" w:eastAsia="仿宋_GB2312"/>
          <w:sz w:val="32"/>
          <w:szCs w:val="32"/>
        </w:rPr>
        <w:t>要充分认识装修垃圾规范处置行动的重要性，精心组织，周密部署，科学制定整治计划，压实责任，切实提高工作效率，紧扣时间节点开展各项工作，确保按方案任务推进要求落实。牵头单位要主动加强指导和督办，推动相关工作有序开展。</w:t>
      </w:r>
    </w:p>
    <w:p>
      <w:pPr>
        <w:widowControl/>
        <w:spacing w:line="560" w:lineRule="exact"/>
        <w:ind w:firstLine="640" w:firstLineChars="200"/>
        <w:rPr>
          <w:rFonts w:ascii="仿宋_GB2312" w:eastAsia="仿宋_GB2312"/>
          <w:sz w:val="32"/>
          <w:szCs w:val="32"/>
        </w:rPr>
      </w:pPr>
      <w:r>
        <w:rPr>
          <w:rFonts w:ascii="楷体_GB2312" w:eastAsia="楷体_GB2312"/>
          <w:sz w:val="32"/>
          <w:szCs w:val="32"/>
        </w:rPr>
        <w:t>（二）强化部门协同，形成执法合力。</w:t>
      </w:r>
      <w:r>
        <w:rPr>
          <w:rFonts w:ascii="仿宋_GB2312" w:eastAsia="仿宋_GB2312"/>
          <w:sz w:val="32"/>
          <w:szCs w:val="32"/>
        </w:rPr>
        <w:t>要综合运用“双随机、一公开”监管与信用评价机制，加强对装修垃圾责任主体和各环节的监管，联合县公安、交通局对装修垃圾收运车辆开展执法检查，严厉打击非法收运、随意倾倒、抛撒、处置等行为，建立健全装修垃圾全过程管理机制。</w:t>
      </w:r>
    </w:p>
    <w:p>
      <w:pPr>
        <w:widowControl/>
        <w:spacing w:line="560" w:lineRule="exact"/>
        <w:ind w:firstLine="640" w:firstLineChars="200"/>
        <w:rPr>
          <w:rFonts w:ascii="仿宋_GB2312" w:eastAsia="仿宋_GB2312"/>
          <w:sz w:val="32"/>
          <w:szCs w:val="32"/>
        </w:rPr>
      </w:pPr>
      <w:r>
        <w:rPr>
          <w:rFonts w:ascii="楷体_GB2312" w:eastAsia="楷体_GB2312"/>
          <w:sz w:val="32"/>
          <w:szCs w:val="32"/>
        </w:rPr>
        <w:t>（三）加强宣传引导，营造良好氛围。</w:t>
      </w:r>
      <w:r>
        <w:rPr>
          <w:rFonts w:ascii="仿宋_GB2312" w:eastAsia="仿宋_GB2312"/>
          <w:sz w:val="32"/>
          <w:szCs w:val="32"/>
        </w:rPr>
        <w:t>要坚持宣传引导，充分发挥媒体的舆论导向和监督作用，有效地调动广大群众参与的积极性、自觉性。要多角度、多维度宣传本次行动的进展情况及成效，总结提炼工作经验和成功做法，形成社会共治的良好氛围。</w:t>
      </w:r>
      <w:r>
        <w:rPr>
          <w:rFonts w:ascii="仿宋_GB2312" w:eastAsia="仿宋_GB2312"/>
          <w:sz w:val="32"/>
          <w:szCs w:val="32"/>
        </w:rPr>
        <w:br w:type="textWrapping"/>
      </w:r>
      <w:r>
        <w:rPr>
          <w:rFonts w:ascii="仿宋_GB2312" w:eastAsia="仿宋_GB2312"/>
          <w:sz w:val="32"/>
          <w:szCs w:val="32"/>
        </w:rPr>
        <w:t>附件</w:t>
      </w:r>
      <w:r>
        <w:rPr>
          <w:rFonts w:hint="eastAsia" w:ascii="仿宋_GB2312" w:eastAsia="仿宋_GB2312"/>
          <w:sz w:val="32"/>
          <w:szCs w:val="32"/>
        </w:rPr>
        <w:t>7</w:t>
      </w:r>
      <w:r>
        <w:rPr>
          <w:rFonts w:ascii="仿宋_GB2312" w:eastAsia="仿宋_GB2312"/>
          <w:sz w:val="32"/>
          <w:szCs w:val="32"/>
        </w:rPr>
        <w:t>-1：城镇区域装修垃圾规范处置任务清单附件</w:t>
      </w:r>
    </w:p>
    <w:p>
      <w:pPr>
        <w:widowControl/>
        <w:spacing w:line="560" w:lineRule="exact"/>
        <w:ind w:firstLine="800" w:firstLineChars="250"/>
        <w:rPr>
          <w:rFonts w:ascii="仿宋_GB2312" w:eastAsia="仿宋_GB2312"/>
          <w:sz w:val="32"/>
          <w:szCs w:val="32"/>
        </w:rPr>
      </w:pPr>
      <w:r>
        <w:rPr>
          <w:rFonts w:hint="eastAsia" w:ascii="仿宋_GB2312" w:eastAsia="仿宋_GB2312"/>
          <w:sz w:val="32"/>
          <w:szCs w:val="32"/>
        </w:rPr>
        <w:t>7</w:t>
      </w:r>
      <w:r>
        <w:rPr>
          <w:rFonts w:ascii="仿宋_GB2312" w:eastAsia="仿宋_GB2312"/>
          <w:sz w:val="32"/>
          <w:szCs w:val="32"/>
        </w:rPr>
        <w:t>-2：渔农村区域装修垃圾规范处置任务清单</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ascii="仿宋_GB2312" w:eastAsia="仿宋_GB2312"/>
          <w:sz w:val="32"/>
          <w:szCs w:val="32"/>
        </w:rPr>
        <w:t>附件</w:t>
      </w:r>
      <w:r>
        <w:rPr>
          <w:rFonts w:hint="eastAsia" w:ascii="仿宋_GB2312" w:eastAsia="仿宋_GB2312"/>
          <w:sz w:val="32"/>
          <w:szCs w:val="32"/>
        </w:rPr>
        <w:t>7-1</w:t>
      </w:r>
      <w:r>
        <w:rPr>
          <w:rFonts w:ascii="仿宋_GB2312" w:eastAsia="仿宋_GB2312"/>
          <w:sz w:val="32"/>
          <w:szCs w:val="32"/>
        </w:rPr>
        <w:t>：</w:t>
      </w:r>
    </w:p>
    <w:p>
      <w:pPr>
        <w:spacing w:line="560" w:lineRule="exact"/>
        <w:jc w:val="center"/>
        <w:rPr>
          <w:rFonts w:ascii="仿宋_GB2312" w:eastAsia="仿宋_GB2312"/>
          <w:b/>
          <w:sz w:val="32"/>
          <w:szCs w:val="32"/>
        </w:rPr>
      </w:pPr>
      <w:r>
        <w:rPr>
          <w:rFonts w:ascii="仿宋_GB2312" w:eastAsia="仿宋_GB2312"/>
          <w:b/>
          <w:sz w:val="32"/>
          <w:szCs w:val="32"/>
        </w:rPr>
        <w:t>城镇区域装修垃圾规范处置任务清单附件</w:t>
      </w:r>
    </w:p>
    <w:p>
      <w:pPr>
        <w:spacing w:line="560" w:lineRule="exact"/>
        <w:rPr>
          <w:rFonts w:ascii="仿宋_GB2312" w:eastAsia="仿宋_GB2312"/>
          <w:sz w:val="32"/>
          <w:szCs w:val="32"/>
        </w:rPr>
      </w:pPr>
    </w:p>
    <w:tbl>
      <w:tblPr>
        <w:tblStyle w:val="11"/>
        <w:tblW w:w="8931"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38"/>
        <w:gridCol w:w="2516"/>
        <w:gridCol w:w="1701"/>
        <w:gridCol w:w="2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Align w:val="center"/>
          </w:tcPr>
          <w:p>
            <w:pPr>
              <w:spacing w:line="560" w:lineRule="exact"/>
              <w:jc w:val="center"/>
              <w:rPr>
                <w:rFonts w:ascii="仿宋_GB2312" w:eastAsia="仿宋_GB2312"/>
                <w:b/>
                <w:sz w:val="32"/>
                <w:szCs w:val="32"/>
              </w:rPr>
            </w:pPr>
            <w:r>
              <w:rPr>
                <w:rFonts w:ascii="仿宋_GB2312" w:eastAsia="仿宋_GB2312"/>
                <w:b/>
                <w:sz w:val="32"/>
                <w:szCs w:val="32"/>
              </w:rPr>
              <w:t>类别</w:t>
            </w:r>
          </w:p>
        </w:tc>
        <w:tc>
          <w:tcPr>
            <w:tcW w:w="2516" w:type="dxa"/>
            <w:vAlign w:val="center"/>
          </w:tcPr>
          <w:p>
            <w:pPr>
              <w:spacing w:line="560" w:lineRule="exact"/>
              <w:jc w:val="center"/>
              <w:rPr>
                <w:rFonts w:ascii="仿宋_GB2312" w:eastAsia="仿宋_GB2312"/>
                <w:b/>
                <w:sz w:val="32"/>
                <w:szCs w:val="32"/>
              </w:rPr>
            </w:pPr>
            <w:r>
              <w:rPr>
                <w:rFonts w:ascii="仿宋_GB2312" w:eastAsia="仿宋_GB2312"/>
                <w:b/>
                <w:sz w:val="32"/>
                <w:szCs w:val="32"/>
              </w:rPr>
              <w:t>点位名称</w:t>
            </w:r>
          </w:p>
        </w:tc>
        <w:tc>
          <w:tcPr>
            <w:tcW w:w="1701" w:type="dxa"/>
            <w:vAlign w:val="center"/>
          </w:tcPr>
          <w:p>
            <w:pPr>
              <w:jc w:val="center"/>
              <w:rPr>
                <w:rFonts w:ascii="仿宋_GB2312" w:eastAsia="仿宋_GB2312"/>
                <w:b/>
                <w:sz w:val="32"/>
                <w:szCs w:val="32"/>
              </w:rPr>
            </w:pPr>
            <w:r>
              <w:rPr>
                <w:rFonts w:hint="eastAsia" w:ascii="仿宋_GB2312" w:eastAsia="仿宋_GB2312"/>
                <w:b/>
                <w:sz w:val="32"/>
                <w:szCs w:val="32"/>
              </w:rPr>
              <w:t>是否封闭</w:t>
            </w:r>
          </w:p>
        </w:tc>
        <w:tc>
          <w:tcPr>
            <w:tcW w:w="2976" w:type="dxa"/>
            <w:vAlign w:val="center"/>
          </w:tcPr>
          <w:p>
            <w:pPr>
              <w:jc w:val="center"/>
              <w:rPr>
                <w:rFonts w:ascii="仿宋_GB2312" w:eastAsia="仿宋_GB2312"/>
                <w:b/>
                <w:sz w:val="32"/>
                <w:szCs w:val="32"/>
              </w:rPr>
            </w:pPr>
            <w:r>
              <w:rPr>
                <w:rFonts w:hint="eastAsia" w:ascii="仿宋_GB2312" w:eastAsia="仿宋_GB2312"/>
                <w:b/>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Merge w:val="restart"/>
            <w:vAlign w:val="center"/>
          </w:tcPr>
          <w:p>
            <w:pPr>
              <w:spacing w:line="560" w:lineRule="exact"/>
              <w:jc w:val="center"/>
              <w:rPr>
                <w:rFonts w:ascii="仿宋_GB2312" w:eastAsia="仿宋_GB2312"/>
                <w:sz w:val="32"/>
                <w:szCs w:val="32"/>
              </w:rPr>
            </w:pPr>
            <w:r>
              <w:rPr>
                <w:rFonts w:ascii="仿宋_GB2312" w:eastAsia="仿宋_GB2312"/>
                <w:sz w:val="32"/>
                <w:szCs w:val="32"/>
              </w:rPr>
              <w:t>居民小区</w:t>
            </w:r>
            <w:r>
              <w:rPr>
                <w:rFonts w:hint="eastAsia" w:ascii="仿宋_GB2312" w:eastAsia="仿宋_GB2312"/>
                <w:sz w:val="32"/>
                <w:szCs w:val="32"/>
              </w:rPr>
              <w:t>（11个）</w:t>
            </w:r>
          </w:p>
        </w:tc>
        <w:tc>
          <w:tcPr>
            <w:tcW w:w="2516" w:type="dxa"/>
            <w:vAlign w:val="center"/>
          </w:tcPr>
          <w:p>
            <w:pPr>
              <w:jc w:val="center"/>
              <w:rPr>
                <w:rFonts w:ascii="仿宋_GB2312" w:eastAsia="仿宋_GB2312"/>
                <w:sz w:val="32"/>
                <w:szCs w:val="32"/>
              </w:rPr>
            </w:pPr>
            <w:r>
              <w:rPr>
                <w:rFonts w:hint="eastAsia" w:ascii="仿宋_GB2312" w:eastAsia="仿宋_GB2312"/>
                <w:sz w:val="32"/>
                <w:szCs w:val="32"/>
              </w:rPr>
              <w:t>峰景湾一期</w:t>
            </w:r>
          </w:p>
        </w:tc>
        <w:tc>
          <w:tcPr>
            <w:tcW w:w="1701" w:type="dxa"/>
            <w:vAlign w:val="center"/>
          </w:tcPr>
          <w:p>
            <w:pPr>
              <w:jc w:val="center"/>
              <w:rPr>
                <w:rFonts w:ascii="仿宋_GB2312" w:eastAsia="仿宋_GB2312"/>
                <w:sz w:val="32"/>
                <w:szCs w:val="32"/>
              </w:rPr>
            </w:pPr>
            <w:r>
              <w:rPr>
                <w:rFonts w:hint="eastAsia" w:ascii="仿宋_GB2312" w:eastAsia="仿宋_GB2312"/>
                <w:sz w:val="32"/>
                <w:szCs w:val="32"/>
              </w:rPr>
              <w:t>否</w:t>
            </w:r>
          </w:p>
        </w:tc>
        <w:tc>
          <w:tcPr>
            <w:tcW w:w="2976" w:type="dxa"/>
            <w:vAlign w:val="center"/>
          </w:tcPr>
          <w:p>
            <w:pPr>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Merge w:val="continue"/>
            <w:vAlign w:val="center"/>
          </w:tcPr>
          <w:p>
            <w:pPr>
              <w:spacing w:line="560" w:lineRule="exact"/>
              <w:jc w:val="center"/>
              <w:rPr>
                <w:rFonts w:ascii="仿宋_GB2312" w:eastAsia="仿宋_GB2312"/>
                <w:sz w:val="32"/>
                <w:szCs w:val="32"/>
              </w:rPr>
            </w:pPr>
          </w:p>
        </w:tc>
        <w:tc>
          <w:tcPr>
            <w:tcW w:w="2516" w:type="dxa"/>
            <w:vAlign w:val="center"/>
          </w:tcPr>
          <w:p>
            <w:pPr>
              <w:jc w:val="center"/>
              <w:rPr>
                <w:rFonts w:ascii="仿宋_GB2312" w:eastAsia="仿宋_GB2312"/>
                <w:sz w:val="32"/>
                <w:szCs w:val="32"/>
              </w:rPr>
            </w:pPr>
            <w:r>
              <w:rPr>
                <w:rFonts w:hint="eastAsia" w:ascii="仿宋_GB2312" w:eastAsia="仿宋_GB2312"/>
                <w:sz w:val="32"/>
                <w:szCs w:val="32"/>
              </w:rPr>
              <w:t>峰景湾二期</w:t>
            </w:r>
          </w:p>
        </w:tc>
        <w:tc>
          <w:tcPr>
            <w:tcW w:w="1701" w:type="dxa"/>
            <w:vAlign w:val="center"/>
          </w:tcPr>
          <w:p>
            <w:pPr>
              <w:jc w:val="center"/>
              <w:rPr>
                <w:rFonts w:ascii="仿宋_GB2312" w:eastAsia="仿宋_GB2312"/>
                <w:sz w:val="32"/>
                <w:szCs w:val="32"/>
              </w:rPr>
            </w:pPr>
            <w:r>
              <w:rPr>
                <w:rFonts w:hint="eastAsia" w:ascii="仿宋_GB2312" w:eastAsia="仿宋_GB2312"/>
                <w:sz w:val="32"/>
                <w:szCs w:val="32"/>
              </w:rPr>
              <w:t>是</w:t>
            </w:r>
          </w:p>
        </w:tc>
        <w:tc>
          <w:tcPr>
            <w:tcW w:w="2976" w:type="dxa"/>
            <w:vAlign w:val="center"/>
          </w:tcPr>
          <w:p>
            <w:pPr>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Merge w:val="continue"/>
            <w:vAlign w:val="center"/>
          </w:tcPr>
          <w:p>
            <w:pPr>
              <w:spacing w:line="560" w:lineRule="exact"/>
              <w:jc w:val="center"/>
              <w:rPr>
                <w:rFonts w:ascii="仿宋_GB2312" w:eastAsia="仿宋_GB2312"/>
                <w:sz w:val="32"/>
                <w:szCs w:val="32"/>
              </w:rPr>
            </w:pPr>
          </w:p>
        </w:tc>
        <w:tc>
          <w:tcPr>
            <w:tcW w:w="2516" w:type="dxa"/>
            <w:vAlign w:val="center"/>
          </w:tcPr>
          <w:p>
            <w:pPr>
              <w:jc w:val="center"/>
              <w:rPr>
                <w:rFonts w:ascii="仿宋_GB2312" w:eastAsia="仿宋_GB2312"/>
                <w:sz w:val="32"/>
                <w:szCs w:val="32"/>
              </w:rPr>
            </w:pPr>
            <w:r>
              <w:rPr>
                <w:rFonts w:hint="eastAsia" w:ascii="仿宋_GB2312" w:eastAsia="仿宋_GB2312"/>
                <w:sz w:val="32"/>
                <w:szCs w:val="32"/>
              </w:rPr>
              <w:t>蓬莱阁</w:t>
            </w:r>
          </w:p>
        </w:tc>
        <w:tc>
          <w:tcPr>
            <w:tcW w:w="1701" w:type="dxa"/>
            <w:vAlign w:val="center"/>
          </w:tcPr>
          <w:p>
            <w:pPr>
              <w:jc w:val="center"/>
              <w:rPr>
                <w:rFonts w:ascii="仿宋_GB2312" w:eastAsia="仿宋_GB2312"/>
                <w:sz w:val="32"/>
                <w:szCs w:val="32"/>
              </w:rPr>
            </w:pPr>
            <w:r>
              <w:rPr>
                <w:rFonts w:hint="eastAsia" w:ascii="仿宋_GB2312" w:eastAsia="仿宋_GB2312"/>
                <w:sz w:val="32"/>
                <w:szCs w:val="32"/>
              </w:rPr>
              <w:t>是</w:t>
            </w:r>
          </w:p>
        </w:tc>
        <w:tc>
          <w:tcPr>
            <w:tcW w:w="2976" w:type="dxa"/>
            <w:vAlign w:val="center"/>
          </w:tcPr>
          <w:p>
            <w:pPr>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Merge w:val="continue"/>
            <w:vAlign w:val="center"/>
          </w:tcPr>
          <w:p>
            <w:pPr>
              <w:spacing w:line="560" w:lineRule="exact"/>
              <w:jc w:val="center"/>
              <w:rPr>
                <w:rFonts w:ascii="仿宋_GB2312" w:eastAsia="仿宋_GB2312"/>
                <w:sz w:val="32"/>
                <w:szCs w:val="32"/>
              </w:rPr>
            </w:pPr>
          </w:p>
        </w:tc>
        <w:tc>
          <w:tcPr>
            <w:tcW w:w="2516" w:type="dxa"/>
            <w:vAlign w:val="center"/>
          </w:tcPr>
          <w:p>
            <w:pPr>
              <w:jc w:val="center"/>
              <w:rPr>
                <w:rFonts w:ascii="仿宋_GB2312" w:eastAsia="仿宋_GB2312"/>
                <w:sz w:val="32"/>
                <w:szCs w:val="32"/>
              </w:rPr>
            </w:pPr>
            <w:r>
              <w:rPr>
                <w:rFonts w:hint="eastAsia" w:ascii="仿宋_GB2312" w:eastAsia="仿宋_GB2312"/>
                <w:sz w:val="32"/>
                <w:szCs w:val="32"/>
              </w:rPr>
              <w:t>蔚蓝公寓北区</w:t>
            </w:r>
          </w:p>
        </w:tc>
        <w:tc>
          <w:tcPr>
            <w:tcW w:w="1701" w:type="dxa"/>
            <w:vAlign w:val="center"/>
          </w:tcPr>
          <w:p>
            <w:pPr>
              <w:jc w:val="center"/>
              <w:rPr>
                <w:rFonts w:ascii="仿宋_GB2312" w:eastAsia="仿宋_GB2312"/>
                <w:sz w:val="32"/>
                <w:szCs w:val="32"/>
              </w:rPr>
            </w:pPr>
            <w:r>
              <w:rPr>
                <w:rFonts w:hint="eastAsia" w:ascii="仿宋_GB2312" w:eastAsia="仿宋_GB2312"/>
                <w:sz w:val="32"/>
                <w:szCs w:val="32"/>
              </w:rPr>
              <w:t>是</w:t>
            </w:r>
          </w:p>
        </w:tc>
        <w:tc>
          <w:tcPr>
            <w:tcW w:w="2976" w:type="dxa"/>
            <w:vAlign w:val="center"/>
          </w:tcPr>
          <w:p>
            <w:pPr>
              <w:jc w:val="center"/>
              <w:rPr>
                <w:rFonts w:ascii="仿宋_GB2312" w:eastAsia="仿宋_GB2312"/>
                <w:sz w:val="32"/>
                <w:szCs w:val="32"/>
              </w:rPr>
            </w:pPr>
            <w:r>
              <w:rPr>
                <w:rFonts w:hint="eastAsia" w:ascii="仿宋_GB2312" w:eastAsia="仿宋_GB2312"/>
                <w:sz w:val="32"/>
                <w:szCs w:val="32"/>
              </w:rPr>
              <w:t>与南区共用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Merge w:val="continue"/>
            <w:vAlign w:val="center"/>
          </w:tcPr>
          <w:p>
            <w:pPr>
              <w:spacing w:line="560" w:lineRule="exact"/>
              <w:jc w:val="center"/>
              <w:rPr>
                <w:rFonts w:ascii="仿宋_GB2312" w:eastAsia="仿宋_GB2312"/>
                <w:sz w:val="32"/>
                <w:szCs w:val="32"/>
              </w:rPr>
            </w:pPr>
          </w:p>
        </w:tc>
        <w:tc>
          <w:tcPr>
            <w:tcW w:w="2516" w:type="dxa"/>
            <w:vAlign w:val="center"/>
          </w:tcPr>
          <w:p>
            <w:pPr>
              <w:jc w:val="center"/>
              <w:rPr>
                <w:rFonts w:ascii="仿宋_GB2312" w:eastAsia="仿宋_GB2312"/>
                <w:sz w:val="32"/>
                <w:szCs w:val="32"/>
              </w:rPr>
            </w:pPr>
            <w:r>
              <w:rPr>
                <w:rFonts w:hint="eastAsia" w:ascii="仿宋_GB2312" w:eastAsia="仿宋_GB2312"/>
                <w:sz w:val="32"/>
                <w:szCs w:val="32"/>
              </w:rPr>
              <w:t>半岛城市花园</w:t>
            </w:r>
          </w:p>
        </w:tc>
        <w:tc>
          <w:tcPr>
            <w:tcW w:w="1701" w:type="dxa"/>
            <w:vAlign w:val="center"/>
          </w:tcPr>
          <w:p>
            <w:pPr>
              <w:jc w:val="center"/>
              <w:rPr>
                <w:rFonts w:ascii="仿宋_GB2312" w:eastAsia="仿宋_GB2312"/>
                <w:sz w:val="32"/>
                <w:szCs w:val="32"/>
              </w:rPr>
            </w:pPr>
            <w:r>
              <w:rPr>
                <w:rFonts w:hint="eastAsia" w:ascii="仿宋_GB2312" w:eastAsia="仿宋_GB2312"/>
                <w:sz w:val="32"/>
                <w:szCs w:val="32"/>
              </w:rPr>
              <w:t>是</w:t>
            </w:r>
          </w:p>
        </w:tc>
        <w:tc>
          <w:tcPr>
            <w:tcW w:w="2976" w:type="dxa"/>
            <w:vAlign w:val="center"/>
          </w:tcPr>
          <w:p>
            <w:pPr>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Merge w:val="continue"/>
            <w:vAlign w:val="center"/>
          </w:tcPr>
          <w:p>
            <w:pPr>
              <w:spacing w:line="560" w:lineRule="exact"/>
              <w:jc w:val="center"/>
              <w:rPr>
                <w:rFonts w:ascii="仿宋_GB2312" w:eastAsia="仿宋_GB2312"/>
                <w:sz w:val="32"/>
                <w:szCs w:val="32"/>
              </w:rPr>
            </w:pPr>
          </w:p>
        </w:tc>
        <w:tc>
          <w:tcPr>
            <w:tcW w:w="2516" w:type="dxa"/>
            <w:vAlign w:val="center"/>
          </w:tcPr>
          <w:p>
            <w:pPr>
              <w:jc w:val="center"/>
              <w:rPr>
                <w:rFonts w:ascii="仿宋_GB2312" w:eastAsia="仿宋_GB2312"/>
                <w:sz w:val="32"/>
                <w:szCs w:val="32"/>
              </w:rPr>
            </w:pPr>
            <w:r>
              <w:rPr>
                <w:rFonts w:hint="eastAsia" w:ascii="仿宋_GB2312" w:eastAsia="仿宋_GB2312"/>
                <w:sz w:val="32"/>
                <w:szCs w:val="32"/>
              </w:rPr>
              <w:t>东方一品</w:t>
            </w:r>
          </w:p>
        </w:tc>
        <w:tc>
          <w:tcPr>
            <w:tcW w:w="1701" w:type="dxa"/>
            <w:vAlign w:val="center"/>
          </w:tcPr>
          <w:p>
            <w:pPr>
              <w:jc w:val="center"/>
              <w:rPr>
                <w:rFonts w:ascii="仿宋_GB2312" w:eastAsia="仿宋_GB2312"/>
                <w:sz w:val="32"/>
                <w:szCs w:val="32"/>
              </w:rPr>
            </w:pPr>
            <w:r>
              <w:rPr>
                <w:rFonts w:hint="eastAsia" w:ascii="仿宋_GB2312" w:eastAsia="仿宋_GB2312"/>
                <w:sz w:val="32"/>
                <w:szCs w:val="32"/>
              </w:rPr>
              <w:t>是</w:t>
            </w:r>
          </w:p>
        </w:tc>
        <w:tc>
          <w:tcPr>
            <w:tcW w:w="2976" w:type="dxa"/>
            <w:vAlign w:val="center"/>
          </w:tcPr>
          <w:p>
            <w:pPr>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Merge w:val="continue"/>
            <w:vAlign w:val="center"/>
          </w:tcPr>
          <w:p>
            <w:pPr>
              <w:spacing w:line="560" w:lineRule="exact"/>
              <w:jc w:val="center"/>
              <w:rPr>
                <w:rFonts w:ascii="仿宋_GB2312" w:eastAsia="仿宋_GB2312"/>
                <w:sz w:val="32"/>
                <w:szCs w:val="32"/>
              </w:rPr>
            </w:pPr>
          </w:p>
        </w:tc>
        <w:tc>
          <w:tcPr>
            <w:tcW w:w="2516" w:type="dxa"/>
            <w:vAlign w:val="center"/>
          </w:tcPr>
          <w:p>
            <w:pPr>
              <w:jc w:val="center"/>
              <w:rPr>
                <w:rFonts w:ascii="仿宋_GB2312" w:eastAsia="仿宋_GB2312"/>
                <w:sz w:val="32"/>
                <w:szCs w:val="32"/>
              </w:rPr>
            </w:pPr>
            <w:r>
              <w:rPr>
                <w:rFonts w:hint="eastAsia" w:ascii="仿宋_GB2312" w:eastAsia="仿宋_GB2312"/>
                <w:sz w:val="32"/>
                <w:szCs w:val="32"/>
              </w:rPr>
              <w:t>太阳城一期</w:t>
            </w:r>
          </w:p>
        </w:tc>
        <w:tc>
          <w:tcPr>
            <w:tcW w:w="1701" w:type="dxa"/>
            <w:vAlign w:val="center"/>
          </w:tcPr>
          <w:p>
            <w:pPr>
              <w:jc w:val="center"/>
              <w:rPr>
                <w:rFonts w:ascii="仿宋_GB2312" w:eastAsia="仿宋_GB2312"/>
                <w:sz w:val="32"/>
                <w:szCs w:val="32"/>
              </w:rPr>
            </w:pPr>
            <w:r>
              <w:rPr>
                <w:rFonts w:hint="eastAsia" w:ascii="仿宋_GB2312" w:eastAsia="仿宋_GB2312"/>
                <w:sz w:val="32"/>
                <w:szCs w:val="32"/>
              </w:rPr>
              <w:t>是</w:t>
            </w:r>
          </w:p>
        </w:tc>
        <w:tc>
          <w:tcPr>
            <w:tcW w:w="2976" w:type="dxa"/>
            <w:vAlign w:val="center"/>
          </w:tcPr>
          <w:p>
            <w:pPr>
              <w:jc w:val="center"/>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Merge w:val="continue"/>
            <w:vAlign w:val="center"/>
          </w:tcPr>
          <w:p>
            <w:pPr>
              <w:spacing w:line="560" w:lineRule="exact"/>
              <w:jc w:val="center"/>
              <w:rPr>
                <w:rFonts w:ascii="仿宋_GB2312" w:eastAsia="仿宋_GB2312"/>
                <w:sz w:val="32"/>
                <w:szCs w:val="32"/>
              </w:rPr>
            </w:pPr>
          </w:p>
        </w:tc>
        <w:tc>
          <w:tcPr>
            <w:tcW w:w="2516" w:type="dxa"/>
            <w:vAlign w:val="center"/>
          </w:tcPr>
          <w:p>
            <w:pPr>
              <w:jc w:val="center"/>
              <w:rPr>
                <w:rFonts w:ascii="仿宋_GB2312" w:eastAsia="仿宋_GB2312"/>
                <w:sz w:val="32"/>
                <w:szCs w:val="32"/>
              </w:rPr>
            </w:pPr>
            <w:r>
              <w:rPr>
                <w:rFonts w:hint="eastAsia" w:ascii="仿宋_GB2312" w:eastAsia="仿宋_GB2312"/>
                <w:sz w:val="32"/>
                <w:szCs w:val="32"/>
              </w:rPr>
              <w:t>海月名都</w:t>
            </w:r>
          </w:p>
        </w:tc>
        <w:tc>
          <w:tcPr>
            <w:tcW w:w="1701" w:type="dxa"/>
            <w:vAlign w:val="center"/>
          </w:tcPr>
          <w:p>
            <w:pPr>
              <w:jc w:val="center"/>
              <w:rPr>
                <w:rFonts w:ascii="仿宋_GB2312" w:eastAsia="仿宋_GB2312"/>
                <w:sz w:val="32"/>
                <w:szCs w:val="32"/>
              </w:rPr>
            </w:pPr>
            <w:r>
              <w:rPr>
                <w:rFonts w:ascii="仿宋_GB2312" w:eastAsia="仿宋_GB2312"/>
                <w:sz w:val="32"/>
                <w:szCs w:val="32"/>
              </w:rPr>
              <w:t>是</w:t>
            </w:r>
          </w:p>
        </w:tc>
        <w:tc>
          <w:tcPr>
            <w:tcW w:w="2976" w:type="dxa"/>
            <w:vAlign w:val="center"/>
          </w:tcPr>
          <w:p>
            <w:pPr>
              <w:jc w:val="center"/>
              <w:rPr>
                <w:rFonts w:ascii="仿宋_GB2312" w:eastAsia="仿宋_GB2312"/>
                <w:sz w:val="32"/>
                <w:szCs w:val="32"/>
              </w:rPr>
            </w:pPr>
            <w:r>
              <w:rPr>
                <w:rFonts w:hint="eastAsia" w:ascii="仿宋_GB2312" w:eastAsia="仿宋_GB2312"/>
                <w:sz w:val="32"/>
                <w:szCs w:val="32"/>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Merge w:val="continue"/>
            <w:vAlign w:val="center"/>
          </w:tcPr>
          <w:p>
            <w:pPr>
              <w:spacing w:line="560" w:lineRule="exact"/>
              <w:jc w:val="center"/>
              <w:rPr>
                <w:rFonts w:ascii="仿宋_GB2312" w:eastAsia="仿宋_GB2312"/>
                <w:sz w:val="32"/>
                <w:szCs w:val="32"/>
              </w:rPr>
            </w:pPr>
          </w:p>
        </w:tc>
        <w:tc>
          <w:tcPr>
            <w:tcW w:w="2516" w:type="dxa"/>
            <w:vAlign w:val="center"/>
          </w:tcPr>
          <w:p>
            <w:pPr>
              <w:jc w:val="center"/>
              <w:rPr>
                <w:rFonts w:ascii="仿宋_GB2312" w:eastAsia="仿宋_GB2312"/>
                <w:sz w:val="32"/>
                <w:szCs w:val="32"/>
              </w:rPr>
            </w:pPr>
            <w:r>
              <w:rPr>
                <w:rFonts w:hint="eastAsia" w:ascii="仿宋_GB2312" w:eastAsia="仿宋_GB2312"/>
                <w:sz w:val="32"/>
                <w:szCs w:val="32"/>
              </w:rPr>
              <w:t>海德花园</w:t>
            </w:r>
          </w:p>
        </w:tc>
        <w:tc>
          <w:tcPr>
            <w:tcW w:w="1701" w:type="dxa"/>
            <w:vAlign w:val="center"/>
          </w:tcPr>
          <w:p>
            <w:pPr>
              <w:jc w:val="center"/>
              <w:rPr>
                <w:rFonts w:ascii="仿宋_GB2312" w:eastAsia="仿宋_GB2312"/>
                <w:sz w:val="32"/>
                <w:szCs w:val="32"/>
              </w:rPr>
            </w:pPr>
            <w:r>
              <w:rPr>
                <w:rFonts w:ascii="仿宋_GB2312" w:eastAsia="仿宋_GB2312"/>
                <w:sz w:val="32"/>
                <w:szCs w:val="32"/>
              </w:rPr>
              <w:t>是</w:t>
            </w:r>
          </w:p>
        </w:tc>
        <w:tc>
          <w:tcPr>
            <w:tcW w:w="2976" w:type="dxa"/>
            <w:vAlign w:val="center"/>
          </w:tcPr>
          <w:p>
            <w:pPr>
              <w:jc w:val="center"/>
              <w:rPr>
                <w:rFonts w:ascii="仿宋_GB2312" w:eastAsia="仿宋_GB2312"/>
                <w:sz w:val="32"/>
                <w:szCs w:val="32"/>
              </w:rPr>
            </w:pPr>
            <w:r>
              <w:rPr>
                <w:rFonts w:hint="eastAsia" w:ascii="仿宋_GB2312" w:eastAsia="仿宋_GB2312"/>
                <w:sz w:val="32"/>
                <w:szCs w:val="3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Merge w:val="continue"/>
            <w:vAlign w:val="center"/>
          </w:tcPr>
          <w:p>
            <w:pPr>
              <w:spacing w:line="560" w:lineRule="exact"/>
              <w:jc w:val="center"/>
              <w:rPr>
                <w:rFonts w:ascii="仿宋_GB2312" w:eastAsia="仿宋_GB2312"/>
                <w:sz w:val="32"/>
                <w:szCs w:val="32"/>
              </w:rPr>
            </w:pPr>
          </w:p>
        </w:tc>
        <w:tc>
          <w:tcPr>
            <w:tcW w:w="2516" w:type="dxa"/>
            <w:vAlign w:val="center"/>
          </w:tcPr>
          <w:p>
            <w:pPr>
              <w:jc w:val="center"/>
              <w:rPr>
                <w:rFonts w:ascii="仿宋_GB2312" w:eastAsia="仿宋_GB2312"/>
                <w:sz w:val="32"/>
                <w:szCs w:val="32"/>
              </w:rPr>
            </w:pPr>
            <w:r>
              <w:rPr>
                <w:rFonts w:hint="eastAsia" w:ascii="仿宋_GB2312" w:eastAsia="仿宋_GB2312"/>
                <w:sz w:val="32"/>
                <w:szCs w:val="32"/>
              </w:rPr>
              <w:t>恒丽府第</w:t>
            </w:r>
          </w:p>
        </w:tc>
        <w:tc>
          <w:tcPr>
            <w:tcW w:w="1701" w:type="dxa"/>
            <w:vAlign w:val="center"/>
          </w:tcPr>
          <w:p>
            <w:pPr>
              <w:jc w:val="center"/>
              <w:rPr>
                <w:rFonts w:ascii="仿宋_GB2312" w:eastAsia="仿宋_GB2312"/>
                <w:sz w:val="32"/>
                <w:szCs w:val="32"/>
              </w:rPr>
            </w:pPr>
            <w:r>
              <w:rPr>
                <w:rFonts w:hint="eastAsia" w:ascii="仿宋_GB2312" w:eastAsia="仿宋_GB2312"/>
                <w:sz w:val="32"/>
                <w:szCs w:val="32"/>
              </w:rPr>
              <w:t>是</w:t>
            </w:r>
          </w:p>
        </w:tc>
        <w:tc>
          <w:tcPr>
            <w:tcW w:w="2976" w:type="dxa"/>
            <w:vAlign w:val="center"/>
          </w:tcPr>
          <w:p>
            <w:pPr>
              <w:jc w:val="center"/>
              <w:rPr>
                <w:rFonts w:ascii="仿宋_GB2312" w:eastAsia="仿宋_GB2312"/>
                <w:sz w:val="32"/>
                <w:szCs w:val="32"/>
              </w:rPr>
            </w:pPr>
            <w:r>
              <w:rPr>
                <w:rFonts w:hint="eastAsia" w:ascii="仿宋_GB2312" w:eastAsia="仿宋_GB2312"/>
                <w:sz w:val="32"/>
                <w:szCs w:val="32"/>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Merge w:val="continue"/>
            <w:vAlign w:val="center"/>
          </w:tcPr>
          <w:p>
            <w:pPr>
              <w:spacing w:line="560" w:lineRule="exact"/>
              <w:jc w:val="center"/>
              <w:rPr>
                <w:rFonts w:ascii="仿宋_GB2312" w:eastAsia="仿宋_GB2312"/>
                <w:sz w:val="32"/>
                <w:szCs w:val="32"/>
              </w:rPr>
            </w:pPr>
          </w:p>
        </w:tc>
        <w:tc>
          <w:tcPr>
            <w:tcW w:w="2516" w:type="dxa"/>
            <w:vAlign w:val="center"/>
          </w:tcPr>
          <w:p>
            <w:pPr>
              <w:jc w:val="center"/>
              <w:rPr>
                <w:rFonts w:ascii="仿宋_GB2312" w:eastAsia="仿宋_GB2312"/>
                <w:sz w:val="32"/>
                <w:szCs w:val="32"/>
              </w:rPr>
            </w:pPr>
            <w:r>
              <w:rPr>
                <w:rFonts w:hint="eastAsia" w:ascii="仿宋_GB2312" w:eastAsia="仿宋_GB2312"/>
                <w:sz w:val="32"/>
                <w:szCs w:val="32"/>
              </w:rPr>
              <w:t>锦绣华府</w:t>
            </w:r>
          </w:p>
        </w:tc>
        <w:tc>
          <w:tcPr>
            <w:tcW w:w="1701" w:type="dxa"/>
            <w:vAlign w:val="center"/>
          </w:tcPr>
          <w:p>
            <w:pPr>
              <w:jc w:val="center"/>
              <w:rPr>
                <w:rFonts w:ascii="仿宋_GB2312" w:eastAsia="仿宋_GB2312"/>
                <w:sz w:val="32"/>
                <w:szCs w:val="32"/>
              </w:rPr>
            </w:pPr>
            <w:r>
              <w:rPr>
                <w:rFonts w:hint="eastAsia" w:ascii="仿宋_GB2312" w:eastAsia="仿宋_GB2312"/>
                <w:sz w:val="32"/>
                <w:szCs w:val="32"/>
              </w:rPr>
              <w:t>是</w:t>
            </w:r>
          </w:p>
        </w:tc>
        <w:tc>
          <w:tcPr>
            <w:tcW w:w="2976" w:type="dxa"/>
            <w:vAlign w:val="center"/>
          </w:tcPr>
          <w:p>
            <w:pPr>
              <w:jc w:val="center"/>
              <w:rPr>
                <w:rFonts w:ascii="仿宋_GB2312" w:eastAsia="仿宋_GB2312"/>
                <w:sz w:val="32"/>
                <w:szCs w:val="32"/>
              </w:rPr>
            </w:pPr>
            <w:r>
              <w:rPr>
                <w:rFonts w:hint="eastAsia" w:ascii="仿宋_GB2312" w:eastAsia="仿宋_GB2312"/>
                <w:sz w:val="32"/>
                <w:szCs w:val="32"/>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Merge w:val="restart"/>
            <w:vAlign w:val="center"/>
          </w:tcPr>
          <w:p>
            <w:pPr>
              <w:spacing w:line="560" w:lineRule="exact"/>
              <w:jc w:val="center"/>
              <w:rPr>
                <w:rFonts w:ascii="仿宋_GB2312" w:eastAsia="仿宋_GB2312"/>
                <w:sz w:val="32"/>
                <w:szCs w:val="32"/>
              </w:rPr>
            </w:pPr>
            <w:r>
              <w:rPr>
                <w:rFonts w:ascii="仿宋_GB2312" w:eastAsia="仿宋_GB2312"/>
                <w:sz w:val="32"/>
                <w:szCs w:val="32"/>
              </w:rPr>
              <w:t>城中村</w:t>
            </w:r>
          </w:p>
          <w:p>
            <w:pPr>
              <w:spacing w:line="560" w:lineRule="exact"/>
              <w:jc w:val="center"/>
              <w:rPr>
                <w:rFonts w:ascii="仿宋_GB2312" w:eastAsia="仿宋_GB2312"/>
                <w:sz w:val="32"/>
                <w:szCs w:val="32"/>
              </w:rPr>
            </w:pPr>
            <w:r>
              <w:rPr>
                <w:rFonts w:hint="eastAsia" w:ascii="仿宋_GB2312" w:eastAsia="仿宋_GB2312"/>
                <w:sz w:val="32"/>
                <w:szCs w:val="32"/>
              </w:rPr>
              <w:t>（2个）</w:t>
            </w:r>
          </w:p>
        </w:tc>
        <w:tc>
          <w:tcPr>
            <w:tcW w:w="2516" w:type="dxa"/>
            <w:vAlign w:val="center"/>
          </w:tcPr>
          <w:p>
            <w:pPr>
              <w:jc w:val="center"/>
              <w:rPr>
                <w:rFonts w:ascii="仿宋_GB2312" w:eastAsia="仿宋_GB2312"/>
                <w:sz w:val="32"/>
                <w:szCs w:val="32"/>
              </w:rPr>
            </w:pPr>
          </w:p>
        </w:tc>
        <w:tc>
          <w:tcPr>
            <w:tcW w:w="1701" w:type="dxa"/>
          </w:tcPr>
          <w:p>
            <w:pPr>
              <w:spacing w:line="560" w:lineRule="exact"/>
              <w:rPr>
                <w:rFonts w:ascii="仿宋_GB2312" w:eastAsia="仿宋_GB2312"/>
                <w:sz w:val="32"/>
                <w:szCs w:val="32"/>
              </w:rPr>
            </w:pPr>
          </w:p>
        </w:tc>
        <w:tc>
          <w:tcPr>
            <w:tcW w:w="2976" w:type="dxa"/>
          </w:tcPr>
          <w:p>
            <w:pPr>
              <w:spacing w:line="560" w:lineRule="exac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Merge w:val="continue"/>
            <w:vAlign w:val="center"/>
          </w:tcPr>
          <w:p>
            <w:pPr>
              <w:spacing w:line="560" w:lineRule="exact"/>
              <w:jc w:val="center"/>
              <w:rPr>
                <w:rFonts w:ascii="仿宋_GB2312" w:eastAsia="仿宋_GB2312"/>
                <w:sz w:val="32"/>
                <w:szCs w:val="32"/>
              </w:rPr>
            </w:pPr>
          </w:p>
        </w:tc>
        <w:tc>
          <w:tcPr>
            <w:tcW w:w="2516" w:type="dxa"/>
            <w:vAlign w:val="center"/>
          </w:tcPr>
          <w:p>
            <w:pPr>
              <w:jc w:val="center"/>
              <w:rPr>
                <w:rFonts w:ascii="仿宋_GB2312" w:eastAsia="仿宋_GB2312"/>
                <w:sz w:val="32"/>
                <w:szCs w:val="32"/>
              </w:rPr>
            </w:pPr>
          </w:p>
        </w:tc>
        <w:tc>
          <w:tcPr>
            <w:tcW w:w="1701" w:type="dxa"/>
          </w:tcPr>
          <w:p>
            <w:pPr>
              <w:spacing w:line="560" w:lineRule="exact"/>
              <w:rPr>
                <w:rFonts w:ascii="仿宋_GB2312" w:eastAsia="仿宋_GB2312"/>
                <w:sz w:val="32"/>
                <w:szCs w:val="32"/>
              </w:rPr>
            </w:pPr>
          </w:p>
        </w:tc>
        <w:tc>
          <w:tcPr>
            <w:tcW w:w="2976" w:type="dxa"/>
          </w:tcPr>
          <w:p>
            <w:pPr>
              <w:spacing w:line="560" w:lineRule="exact"/>
              <w:rPr>
                <w:rFonts w:ascii="仿宋_GB2312" w:eastAsia="仿宋_GB2312"/>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738" w:type="dxa"/>
            <w:vAlign w:val="center"/>
          </w:tcPr>
          <w:p>
            <w:pPr>
              <w:spacing w:line="560" w:lineRule="exact"/>
              <w:jc w:val="center"/>
              <w:rPr>
                <w:rFonts w:ascii="仿宋_GB2312" w:eastAsia="仿宋_GB2312"/>
                <w:sz w:val="32"/>
                <w:szCs w:val="32"/>
              </w:rPr>
            </w:pPr>
            <w:r>
              <w:rPr>
                <w:rFonts w:ascii="仿宋_GB2312" w:eastAsia="仿宋_GB2312"/>
                <w:sz w:val="32"/>
                <w:szCs w:val="32"/>
              </w:rPr>
              <w:t>分拣中转场所</w:t>
            </w:r>
          </w:p>
          <w:p>
            <w:pPr>
              <w:spacing w:line="560" w:lineRule="exact"/>
              <w:jc w:val="center"/>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1个</w:t>
            </w:r>
            <w:r>
              <w:rPr>
                <w:rFonts w:ascii="仿宋_GB2312" w:eastAsia="仿宋_GB2312"/>
                <w:sz w:val="32"/>
                <w:szCs w:val="32"/>
              </w:rPr>
              <w:t>）</w:t>
            </w:r>
          </w:p>
        </w:tc>
        <w:tc>
          <w:tcPr>
            <w:tcW w:w="2516" w:type="dxa"/>
            <w:vAlign w:val="center"/>
          </w:tcPr>
          <w:p>
            <w:pPr>
              <w:jc w:val="center"/>
            </w:pPr>
          </w:p>
        </w:tc>
        <w:tc>
          <w:tcPr>
            <w:tcW w:w="1701" w:type="dxa"/>
          </w:tcPr>
          <w:p>
            <w:pPr>
              <w:spacing w:line="560" w:lineRule="exact"/>
              <w:rPr>
                <w:rFonts w:ascii="仿宋_GB2312" w:eastAsia="仿宋_GB2312"/>
                <w:sz w:val="32"/>
                <w:szCs w:val="32"/>
              </w:rPr>
            </w:pPr>
          </w:p>
        </w:tc>
        <w:tc>
          <w:tcPr>
            <w:tcW w:w="2976" w:type="dxa"/>
          </w:tcPr>
          <w:p>
            <w:pPr>
              <w:spacing w:line="560" w:lineRule="exact"/>
              <w:rPr>
                <w:rFonts w:ascii="仿宋_GB2312" w:eastAsia="仿宋_GB2312"/>
                <w:sz w:val="32"/>
                <w:szCs w:val="32"/>
              </w:rPr>
            </w:pPr>
          </w:p>
        </w:tc>
      </w:tr>
    </w:tbl>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ascii="仿宋_GB2312" w:eastAsia="仿宋_GB2312"/>
          <w:sz w:val="32"/>
          <w:szCs w:val="32"/>
        </w:rPr>
        <w:t>附件</w:t>
      </w:r>
      <w:r>
        <w:rPr>
          <w:rFonts w:hint="eastAsia" w:ascii="仿宋_GB2312" w:eastAsia="仿宋_GB2312"/>
          <w:sz w:val="32"/>
          <w:szCs w:val="32"/>
        </w:rPr>
        <w:t>7-2</w:t>
      </w:r>
      <w:r>
        <w:rPr>
          <w:rFonts w:ascii="仿宋_GB2312" w:eastAsia="仿宋_GB2312"/>
          <w:sz w:val="32"/>
          <w:szCs w:val="32"/>
        </w:rPr>
        <w:t>：</w:t>
      </w:r>
    </w:p>
    <w:p>
      <w:pPr>
        <w:spacing w:line="560" w:lineRule="exact"/>
        <w:jc w:val="center"/>
        <w:rPr>
          <w:rFonts w:ascii="仿宋_GB2312" w:eastAsia="仿宋_GB2312"/>
          <w:b/>
          <w:sz w:val="32"/>
          <w:szCs w:val="32"/>
        </w:rPr>
      </w:pPr>
      <w:r>
        <w:rPr>
          <w:rFonts w:ascii="仿宋_GB2312" w:eastAsia="仿宋_GB2312"/>
          <w:b/>
          <w:sz w:val="32"/>
          <w:szCs w:val="32"/>
        </w:rPr>
        <w:t>渔农村区域装修垃圾规范处置任务清单附件</w:t>
      </w:r>
    </w:p>
    <w:tbl>
      <w:tblPr>
        <w:tblStyle w:val="11"/>
        <w:tblW w:w="9781"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2268"/>
        <w:gridCol w:w="1843"/>
        <w:gridCol w:w="326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spacing w:line="560" w:lineRule="exact"/>
              <w:jc w:val="center"/>
              <w:rPr>
                <w:rFonts w:ascii="仿宋_GB2312" w:eastAsia="仿宋_GB2312"/>
                <w:b/>
                <w:sz w:val="32"/>
                <w:szCs w:val="32"/>
              </w:rPr>
            </w:pPr>
            <w:r>
              <w:rPr>
                <w:rFonts w:ascii="仿宋_GB2312" w:eastAsia="仿宋_GB2312"/>
                <w:b/>
                <w:sz w:val="32"/>
                <w:szCs w:val="32"/>
              </w:rPr>
              <w:t>乡镇</w:t>
            </w:r>
          </w:p>
        </w:tc>
        <w:tc>
          <w:tcPr>
            <w:tcW w:w="2268" w:type="dxa"/>
            <w:vAlign w:val="center"/>
          </w:tcPr>
          <w:p>
            <w:pPr>
              <w:spacing w:line="560" w:lineRule="exact"/>
              <w:jc w:val="center"/>
              <w:rPr>
                <w:rFonts w:ascii="仿宋_GB2312" w:eastAsia="仿宋_GB2312"/>
                <w:b/>
                <w:sz w:val="32"/>
                <w:szCs w:val="32"/>
              </w:rPr>
            </w:pPr>
            <w:r>
              <w:rPr>
                <w:rFonts w:ascii="仿宋_GB2312" w:eastAsia="仿宋_GB2312"/>
                <w:b/>
                <w:sz w:val="32"/>
                <w:szCs w:val="32"/>
              </w:rPr>
              <w:t>临时集置点</w:t>
            </w:r>
          </w:p>
        </w:tc>
        <w:tc>
          <w:tcPr>
            <w:tcW w:w="1843" w:type="dxa"/>
            <w:vAlign w:val="center"/>
          </w:tcPr>
          <w:p>
            <w:pPr>
              <w:spacing w:line="560" w:lineRule="exact"/>
              <w:jc w:val="center"/>
              <w:rPr>
                <w:rFonts w:ascii="仿宋_GB2312" w:eastAsia="仿宋_GB2312"/>
                <w:b/>
                <w:sz w:val="32"/>
                <w:szCs w:val="32"/>
              </w:rPr>
            </w:pPr>
            <w:r>
              <w:rPr>
                <w:rFonts w:ascii="仿宋_GB2312" w:eastAsia="仿宋_GB2312"/>
                <w:b/>
                <w:sz w:val="32"/>
                <w:szCs w:val="32"/>
              </w:rPr>
              <w:t>村</w:t>
            </w:r>
          </w:p>
        </w:tc>
        <w:tc>
          <w:tcPr>
            <w:tcW w:w="3260" w:type="dxa"/>
            <w:vAlign w:val="center"/>
          </w:tcPr>
          <w:p>
            <w:pPr>
              <w:spacing w:line="560" w:lineRule="exact"/>
              <w:jc w:val="center"/>
              <w:rPr>
                <w:rFonts w:ascii="仿宋_GB2312" w:eastAsia="仿宋_GB2312"/>
                <w:b/>
                <w:sz w:val="32"/>
                <w:szCs w:val="32"/>
              </w:rPr>
            </w:pPr>
            <w:r>
              <w:rPr>
                <w:rFonts w:ascii="仿宋_GB2312" w:eastAsia="仿宋_GB2312"/>
                <w:b/>
                <w:sz w:val="32"/>
                <w:szCs w:val="32"/>
              </w:rPr>
              <w:t>投放点</w:t>
            </w:r>
          </w:p>
        </w:tc>
        <w:tc>
          <w:tcPr>
            <w:tcW w:w="1276" w:type="dxa"/>
            <w:vAlign w:val="center"/>
          </w:tcPr>
          <w:p>
            <w:pPr>
              <w:spacing w:line="560" w:lineRule="exact"/>
              <w:jc w:val="center"/>
              <w:rPr>
                <w:rFonts w:ascii="仿宋_GB2312" w:eastAsia="仿宋_GB2312"/>
                <w:b/>
                <w:sz w:val="32"/>
                <w:szCs w:val="32"/>
              </w:rPr>
            </w:pPr>
            <w:r>
              <w:rPr>
                <w:rFonts w:ascii="仿宋_GB2312" w:eastAsia="仿宋_GB2312"/>
                <w:b/>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restart"/>
            <w:vAlign w:val="center"/>
          </w:tcPr>
          <w:p>
            <w:pPr>
              <w:spacing w:line="240" w:lineRule="atLeast"/>
              <w:jc w:val="center"/>
              <w:rPr>
                <w:rFonts w:ascii="仿宋_GB2312" w:eastAsia="仿宋_GB2312"/>
                <w:sz w:val="24"/>
                <w:szCs w:val="32"/>
              </w:rPr>
            </w:pPr>
            <w:r>
              <w:rPr>
                <w:rFonts w:ascii="仿宋_GB2312" w:eastAsia="仿宋_GB2312"/>
                <w:sz w:val="24"/>
                <w:szCs w:val="32"/>
              </w:rPr>
              <w:t>高亭镇</w:t>
            </w:r>
          </w:p>
          <w:p>
            <w:pPr>
              <w:spacing w:line="240" w:lineRule="atLeast"/>
              <w:jc w:val="center"/>
              <w:rPr>
                <w:rFonts w:ascii="仿宋_GB2312" w:eastAsia="仿宋_GB2312"/>
                <w:sz w:val="24"/>
                <w:szCs w:val="32"/>
              </w:rPr>
            </w:pPr>
            <w:r>
              <w:rPr>
                <w:rFonts w:hint="eastAsia" w:ascii="仿宋_GB2312" w:eastAsia="仿宋_GB2312"/>
                <w:sz w:val="24"/>
                <w:szCs w:val="32"/>
              </w:rPr>
              <w:t>（5个）</w:t>
            </w:r>
          </w:p>
        </w:tc>
        <w:tc>
          <w:tcPr>
            <w:tcW w:w="2268" w:type="dxa"/>
            <w:vMerge w:val="restart"/>
            <w:vAlign w:val="center"/>
          </w:tcPr>
          <w:p>
            <w:pPr>
              <w:spacing w:line="240" w:lineRule="atLeast"/>
              <w:jc w:val="center"/>
              <w:rPr>
                <w:rFonts w:ascii="仿宋_GB2312" w:eastAsia="仿宋_GB2312"/>
                <w:sz w:val="24"/>
                <w:szCs w:val="32"/>
              </w:rPr>
            </w:pPr>
            <w:r>
              <w:rPr>
                <w:rFonts w:ascii="仿宋_GB2312" w:eastAsia="仿宋_GB2312"/>
                <w:sz w:val="24"/>
                <w:szCs w:val="32"/>
              </w:rPr>
              <w:t>竹屿新区</w:t>
            </w: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石马岙村</w:t>
            </w:r>
          </w:p>
        </w:tc>
        <w:tc>
          <w:tcPr>
            <w:tcW w:w="3260" w:type="dxa"/>
            <w:vAlign w:val="center"/>
          </w:tcPr>
          <w:p>
            <w:pPr>
              <w:spacing w:line="240" w:lineRule="atLeast"/>
              <w:jc w:val="left"/>
              <w:rPr>
                <w:rFonts w:ascii="仿宋_GB2312" w:eastAsia="仿宋_GB2312"/>
                <w:sz w:val="24"/>
                <w:szCs w:val="32"/>
              </w:rPr>
            </w:pPr>
            <w:r>
              <w:rPr>
                <w:rFonts w:hint="eastAsia" w:ascii="仿宋_GB2312" w:eastAsia="仿宋_GB2312"/>
                <w:sz w:val="24"/>
                <w:szCs w:val="32"/>
              </w:rPr>
              <w:t>村中路口</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枫树村会</w:t>
            </w:r>
          </w:p>
        </w:tc>
        <w:tc>
          <w:tcPr>
            <w:tcW w:w="3260" w:type="dxa"/>
            <w:vAlign w:val="center"/>
          </w:tcPr>
          <w:p>
            <w:pPr>
              <w:spacing w:line="240" w:lineRule="atLeast"/>
              <w:jc w:val="left"/>
              <w:rPr>
                <w:rFonts w:ascii="仿宋_GB2312" w:eastAsia="仿宋_GB2312"/>
                <w:sz w:val="24"/>
                <w:szCs w:val="32"/>
              </w:rPr>
            </w:pPr>
            <w:r>
              <w:rPr>
                <w:rFonts w:hint="eastAsia" w:ascii="仿宋_GB2312" w:eastAsia="仿宋_GB2312"/>
                <w:sz w:val="24"/>
                <w:szCs w:val="32"/>
              </w:rPr>
              <w:t>牛轭墩</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黄官泥岙村</w:t>
            </w:r>
          </w:p>
        </w:tc>
        <w:tc>
          <w:tcPr>
            <w:tcW w:w="3260" w:type="dxa"/>
            <w:vAlign w:val="center"/>
          </w:tcPr>
          <w:p>
            <w:pPr>
              <w:spacing w:line="240" w:lineRule="atLeast"/>
              <w:jc w:val="left"/>
              <w:rPr>
                <w:rFonts w:ascii="仿宋_GB2312" w:eastAsia="仿宋_GB2312"/>
                <w:sz w:val="24"/>
                <w:szCs w:val="32"/>
              </w:rPr>
            </w:pPr>
            <w:r>
              <w:rPr>
                <w:rFonts w:hint="eastAsia" w:ascii="仿宋_GB2312" w:eastAsia="仿宋_GB2312"/>
                <w:sz w:val="24"/>
                <w:szCs w:val="32"/>
              </w:rPr>
              <w:t>启航路右侧路口</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南浦村</w:t>
            </w:r>
          </w:p>
        </w:tc>
        <w:tc>
          <w:tcPr>
            <w:tcW w:w="3260" w:type="dxa"/>
            <w:vAlign w:val="center"/>
          </w:tcPr>
          <w:p>
            <w:pPr>
              <w:spacing w:line="240" w:lineRule="atLeast"/>
              <w:jc w:val="left"/>
              <w:rPr>
                <w:rFonts w:ascii="仿宋_GB2312" w:eastAsia="仿宋_GB2312"/>
                <w:sz w:val="24"/>
                <w:szCs w:val="32"/>
              </w:rPr>
            </w:pPr>
            <w:r>
              <w:rPr>
                <w:rFonts w:hint="eastAsia" w:ascii="仿宋_GB2312" w:eastAsia="仿宋_GB2312"/>
                <w:sz w:val="24"/>
                <w:szCs w:val="32"/>
              </w:rPr>
              <w:t>下塘</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塘墩村</w:t>
            </w:r>
          </w:p>
        </w:tc>
        <w:tc>
          <w:tcPr>
            <w:tcW w:w="3260" w:type="dxa"/>
            <w:vAlign w:val="center"/>
          </w:tcPr>
          <w:p>
            <w:pPr>
              <w:spacing w:line="240" w:lineRule="atLeast"/>
              <w:jc w:val="left"/>
              <w:rPr>
                <w:rFonts w:ascii="仿宋_GB2312" w:eastAsia="仿宋_GB2312"/>
                <w:sz w:val="24"/>
                <w:szCs w:val="32"/>
              </w:rPr>
            </w:pPr>
            <w:r>
              <w:rPr>
                <w:rFonts w:hint="eastAsia" w:ascii="仿宋_GB2312" w:eastAsia="仿宋_GB2312"/>
                <w:sz w:val="24"/>
                <w:szCs w:val="32"/>
              </w:rPr>
              <w:t>直塘弄</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restart"/>
            <w:vAlign w:val="center"/>
          </w:tcPr>
          <w:p>
            <w:pPr>
              <w:spacing w:line="240" w:lineRule="atLeast"/>
              <w:jc w:val="center"/>
              <w:rPr>
                <w:rFonts w:ascii="仿宋_GB2312" w:eastAsia="仿宋_GB2312"/>
                <w:sz w:val="24"/>
                <w:szCs w:val="32"/>
              </w:rPr>
            </w:pPr>
            <w:r>
              <w:rPr>
                <w:rFonts w:ascii="仿宋_GB2312" w:eastAsia="仿宋_GB2312"/>
                <w:sz w:val="24"/>
                <w:szCs w:val="32"/>
              </w:rPr>
              <w:t>东沙镇</w:t>
            </w:r>
          </w:p>
          <w:p>
            <w:pPr>
              <w:spacing w:line="240" w:lineRule="atLeast"/>
              <w:jc w:val="center"/>
              <w:rPr>
                <w:rFonts w:ascii="仿宋_GB2312" w:eastAsia="仿宋_GB2312"/>
                <w:sz w:val="24"/>
                <w:szCs w:val="32"/>
              </w:rPr>
            </w:pPr>
            <w:r>
              <w:rPr>
                <w:rFonts w:hint="eastAsia" w:ascii="仿宋_GB2312" w:eastAsia="仿宋_GB2312"/>
                <w:sz w:val="24"/>
                <w:szCs w:val="32"/>
              </w:rPr>
              <w:t>（3个）</w:t>
            </w:r>
          </w:p>
        </w:tc>
        <w:tc>
          <w:tcPr>
            <w:tcW w:w="2268" w:type="dxa"/>
            <w:vMerge w:val="restart"/>
            <w:vAlign w:val="center"/>
          </w:tcPr>
          <w:p>
            <w:pPr>
              <w:spacing w:line="240" w:lineRule="atLeast"/>
              <w:jc w:val="center"/>
              <w:rPr>
                <w:rFonts w:ascii="仿宋_GB2312" w:eastAsia="仿宋_GB2312"/>
                <w:sz w:val="24"/>
                <w:szCs w:val="32"/>
              </w:rPr>
            </w:pPr>
            <w:r>
              <w:rPr>
                <w:rFonts w:hint="eastAsia" w:ascii="仿宋_GB2312" w:eastAsia="仿宋_GB2312"/>
                <w:sz w:val="24"/>
                <w:szCs w:val="32"/>
              </w:rPr>
              <w:t>桥头</w:t>
            </w:r>
          </w:p>
          <w:p>
            <w:pPr>
              <w:spacing w:line="240" w:lineRule="atLeast"/>
              <w:jc w:val="center"/>
              <w:rPr>
                <w:rFonts w:ascii="仿宋_GB2312" w:eastAsia="仿宋_GB2312"/>
                <w:sz w:val="24"/>
                <w:szCs w:val="32"/>
              </w:rPr>
            </w:pPr>
            <w:r>
              <w:rPr>
                <w:rFonts w:hint="eastAsia" w:ascii="仿宋_GB2312" w:eastAsia="仿宋_GB2312"/>
                <w:sz w:val="24"/>
                <w:szCs w:val="32"/>
              </w:rPr>
              <w:t>大桥拱</w:t>
            </w: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桥头村</w:t>
            </w:r>
          </w:p>
        </w:tc>
        <w:tc>
          <w:tcPr>
            <w:tcW w:w="3260" w:type="dxa"/>
            <w:vAlign w:val="center"/>
          </w:tcPr>
          <w:p>
            <w:pPr>
              <w:spacing w:line="240" w:lineRule="atLeast"/>
              <w:jc w:val="left"/>
              <w:rPr>
                <w:rFonts w:ascii="仿宋_GB2312" w:eastAsia="仿宋_GB2312"/>
                <w:sz w:val="24"/>
                <w:szCs w:val="32"/>
              </w:rPr>
            </w:pPr>
            <w:r>
              <w:rPr>
                <w:rFonts w:hint="eastAsia" w:ascii="仿宋_GB2312" w:eastAsia="仿宋_GB2312"/>
                <w:sz w:val="24"/>
                <w:szCs w:val="32"/>
              </w:rPr>
              <w:t>桥头文昌路旁边</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司基村</w:t>
            </w:r>
          </w:p>
        </w:tc>
        <w:tc>
          <w:tcPr>
            <w:tcW w:w="3260" w:type="dxa"/>
            <w:vAlign w:val="center"/>
          </w:tcPr>
          <w:p>
            <w:pPr>
              <w:spacing w:line="240" w:lineRule="atLeast"/>
              <w:jc w:val="left"/>
              <w:rPr>
                <w:rFonts w:ascii="仿宋_GB2312" w:eastAsia="仿宋_GB2312"/>
                <w:sz w:val="24"/>
                <w:szCs w:val="32"/>
              </w:rPr>
            </w:pPr>
            <w:r>
              <w:rPr>
                <w:rFonts w:hint="eastAsia" w:ascii="仿宋_GB2312" w:eastAsia="仿宋_GB2312"/>
                <w:sz w:val="24"/>
                <w:szCs w:val="32"/>
              </w:rPr>
              <w:t>司基村外司基256号前后</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泥峙村</w:t>
            </w:r>
          </w:p>
        </w:tc>
        <w:tc>
          <w:tcPr>
            <w:tcW w:w="3260" w:type="dxa"/>
            <w:vAlign w:val="center"/>
          </w:tcPr>
          <w:p>
            <w:pPr>
              <w:spacing w:line="240" w:lineRule="atLeast"/>
              <w:jc w:val="left"/>
              <w:rPr>
                <w:rFonts w:ascii="仿宋_GB2312" w:eastAsia="仿宋_GB2312"/>
                <w:sz w:val="24"/>
                <w:szCs w:val="32"/>
              </w:rPr>
            </w:pPr>
            <w:r>
              <w:rPr>
                <w:rFonts w:hint="eastAsia" w:ascii="仿宋_GB2312" w:eastAsia="仿宋_GB2312"/>
                <w:sz w:val="24"/>
                <w:szCs w:val="32"/>
              </w:rPr>
              <w:t>泥峙育英路</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spacing w:line="240" w:lineRule="atLeast"/>
              <w:jc w:val="center"/>
              <w:rPr>
                <w:rFonts w:ascii="仿宋_GB2312" w:eastAsia="仿宋_GB2312"/>
                <w:sz w:val="24"/>
                <w:szCs w:val="32"/>
              </w:rPr>
            </w:pPr>
            <w:r>
              <w:rPr>
                <w:rFonts w:ascii="仿宋_GB2312" w:eastAsia="仿宋_GB2312"/>
                <w:sz w:val="24"/>
                <w:szCs w:val="32"/>
              </w:rPr>
              <w:t>岱西镇</w:t>
            </w:r>
          </w:p>
          <w:p>
            <w:pPr>
              <w:spacing w:line="240" w:lineRule="atLeast"/>
              <w:jc w:val="center"/>
              <w:rPr>
                <w:rFonts w:ascii="仿宋_GB2312" w:eastAsia="仿宋_GB2312"/>
                <w:sz w:val="24"/>
                <w:szCs w:val="32"/>
              </w:rPr>
            </w:pPr>
            <w:r>
              <w:rPr>
                <w:rFonts w:hint="eastAsia" w:ascii="仿宋_GB2312" w:eastAsia="仿宋_GB2312"/>
                <w:sz w:val="24"/>
                <w:szCs w:val="32"/>
              </w:rPr>
              <w:t>（1个）</w:t>
            </w:r>
          </w:p>
        </w:tc>
        <w:tc>
          <w:tcPr>
            <w:tcW w:w="2268"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后岸石塘根东</w:t>
            </w: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后岸村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后岸石塘根东</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restart"/>
            <w:vAlign w:val="center"/>
          </w:tcPr>
          <w:p>
            <w:pPr>
              <w:spacing w:line="240" w:lineRule="atLeast"/>
              <w:jc w:val="center"/>
              <w:rPr>
                <w:rFonts w:ascii="仿宋_GB2312" w:eastAsia="仿宋_GB2312"/>
                <w:sz w:val="24"/>
                <w:szCs w:val="32"/>
              </w:rPr>
            </w:pPr>
            <w:r>
              <w:rPr>
                <w:rFonts w:ascii="仿宋_GB2312" w:eastAsia="仿宋_GB2312"/>
                <w:sz w:val="24"/>
                <w:szCs w:val="32"/>
              </w:rPr>
              <w:t>岱东镇</w:t>
            </w:r>
          </w:p>
          <w:p>
            <w:pPr>
              <w:spacing w:line="240" w:lineRule="atLeast"/>
              <w:jc w:val="center"/>
              <w:rPr>
                <w:rFonts w:ascii="仿宋_GB2312" w:eastAsia="仿宋_GB2312"/>
                <w:sz w:val="24"/>
                <w:szCs w:val="32"/>
              </w:rPr>
            </w:pPr>
            <w:r>
              <w:rPr>
                <w:rFonts w:hint="eastAsia" w:ascii="仿宋_GB2312" w:eastAsia="仿宋_GB2312"/>
                <w:sz w:val="24"/>
                <w:szCs w:val="32"/>
              </w:rPr>
              <w:t>（2个）</w:t>
            </w:r>
          </w:p>
        </w:tc>
        <w:tc>
          <w:tcPr>
            <w:tcW w:w="2268" w:type="dxa"/>
            <w:vMerge w:val="restart"/>
            <w:vAlign w:val="center"/>
          </w:tcPr>
          <w:p>
            <w:pPr>
              <w:spacing w:line="240" w:lineRule="atLeast"/>
              <w:jc w:val="center"/>
              <w:rPr>
                <w:rFonts w:ascii="仿宋_GB2312" w:eastAsia="仿宋_GB2312"/>
                <w:sz w:val="24"/>
                <w:szCs w:val="32"/>
              </w:rPr>
            </w:pPr>
            <w:r>
              <w:rPr>
                <w:rFonts w:hint="eastAsia" w:ascii="仿宋_GB2312" w:eastAsia="仿宋_GB2312"/>
                <w:sz w:val="24"/>
                <w:szCs w:val="32"/>
              </w:rPr>
              <w:t>沙洋村沙河口</w:t>
            </w: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沙洋村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沙河口</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龙头村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大岙底宕口</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spacing w:line="240" w:lineRule="atLeast"/>
              <w:jc w:val="center"/>
              <w:rPr>
                <w:rFonts w:ascii="仿宋_GB2312" w:eastAsia="仿宋_GB2312"/>
                <w:sz w:val="24"/>
                <w:szCs w:val="32"/>
              </w:rPr>
            </w:pPr>
            <w:r>
              <w:rPr>
                <w:rFonts w:ascii="仿宋_GB2312" w:eastAsia="仿宋_GB2312"/>
                <w:sz w:val="24"/>
                <w:szCs w:val="32"/>
              </w:rPr>
              <w:t>长涂镇</w:t>
            </w:r>
          </w:p>
          <w:p>
            <w:pPr>
              <w:spacing w:line="240" w:lineRule="atLeast"/>
              <w:jc w:val="center"/>
              <w:rPr>
                <w:rFonts w:ascii="仿宋_GB2312" w:eastAsia="仿宋_GB2312"/>
                <w:sz w:val="24"/>
                <w:szCs w:val="32"/>
              </w:rPr>
            </w:pPr>
            <w:r>
              <w:rPr>
                <w:rFonts w:hint="eastAsia" w:ascii="仿宋_GB2312" w:eastAsia="仿宋_GB2312"/>
                <w:sz w:val="24"/>
                <w:szCs w:val="32"/>
              </w:rPr>
              <w:t>（1个）</w:t>
            </w:r>
          </w:p>
        </w:tc>
        <w:tc>
          <w:tcPr>
            <w:tcW w:w="2268"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长涂垃圾中转站，长西大岙</w:t>
            </w: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长西村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长西村中兴路原晒谷场旁</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restart"/>
            <w:vAlign w:val="center"/>
          </w:tcPr>
          <w:p>
            <w:pPr>
              <w:spacing w:line="240" w:lineRule="atLeast"/>
              <w:jc w:val="center"/>
              <w:rPr>
                <w:rFonts w:ascii="仿宋_GB2312" w:eastAsia="仿宋_GB2312"/>
                <w:sz w:val="24"/>
                <w:szCs w:val="32"/>
              </w:rPr>
            </w:pPr>
            <w:r>
              <w:rPr>
                <w:rFonts w:ascii="仿宋_GB2312" w:eastAsia="仿宋_GB2312"/>
                <w:sz w:val="24"/>
                <w:szCs w:val="32"/>
              </w:rPr>
              <w:t>衢山镇</w:t>
            </w:r>
          </w:p>
          <w:p>
            <w:pPr>
              <w:spacing w:line="240" w:lineRule="atLeast"/>
              <w:jc w:val="center"/>
              <w:rPr>
                <w:rFonts w:ascii="仿宋_GB2312" w:eastAsia="仿宋_GB2312"/>
                <w:sz w:val="24"/>
                <w:szCs w:val="32"/>
              </w:rPr>
            </w:pPr>
            <w:r>
              <w:rPr>
                <w:rFonts w:hint="eastAsia" w:ascii="仿宋_GB2312" w:eastAsia="仿宋_GB2312"/>
                <w:sz w:val="24"/>
                <w:szCs w:val="32"/>
              </w:rPr>
              <w:t>（18个）</w:t>
            </w:r>
          </w:p>
        </w:tc>
        <w:tc>
          <w:tcPr>
            <w:tcW w:w="2268" w:type="dxa"/>
            <w:vMerge w:val="restart"/>
            <w:vAlign w:val="center"/>
          </w:tcPr>
          <w:p>
            <w:pPr>
              <w:spacing w:line="240" w:lineRule="atLeast"/>
              <w:jc w:val="center"/>
              <w:rPr>
                <w:rFonts w:ascii="仿宋_GB2312" w:eastAsia="仿宋_GB2312"/>
                <w:sz w:val="24"/>
                <w:szCs w:val="32"/>
              </w:rPr>
            </w:pPr>
            <w:r>
              <w:rPr>
                <w:rFonts w:hint="eastAsia" w:ascii="仿宋_GB2312" w:eastAsia="仿宋_GB2312"/>
                <w:sz w:val="24"/>
                <w:szCs w:val="32"/>
              </w:rPr>
              <w:t>桂花村铜镜路20号</w:t>
            </w: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龙潭村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大小龙潭中间</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鼠浪村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三星北路北边</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岛斗村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东方汽配厂旁边</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小衢村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原敬老院旁边</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幸福村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村集资房后面路边</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太平村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村委厕所西侧</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打水村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消防中队前面</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塘岙村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塘岙网场仓库排房旁边，位置靠西南方向</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渔耕碗村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外厂公路旁</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四平村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公路旁边</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凉峙村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村进口转弯处</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东岙村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村委路边</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涨网套村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隧道进口旁边</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石子门村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海滩旁边</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田涂村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田涂菜场后面</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万北村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羊元岙东面路边</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高涂村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高涂村与渔耕碗村交界处</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Merge w:val="continue"/>
            <w:vAlign w:val="center"/>
          </w:tcPr>
          <w:p>
            <w:pPr>
              <w:spacing w:line="240" w:lineRule="atLeast"/>
              <w:jc w:val="center"/>
              <w:rPr>
                <w:rFonts w:ascii="仿宋_GB2312" w:eastAsia="仿宋_GB2312"/>
                <w:sz w:val="24"/>
                <w:szCs w:val="32"/>
              </w:rPr>
            </w:pPr>
          </w:p>
        </w:tc>
        <w:tc>
          <w:tcPr>
            <w:tcW w:w="2268" w:type="dxa"/>
            <w:vMerge w:val="continue"/>
            <w:vAlign w:val="center"/>
          </w:tcPr>
          <w:p>
            <w:pPr>
              <w:spacing w:line="240" w:lineRule="atLeast"/>
              <w:jc w:val="center"/>
              <w:rPr>
                <w:rFonts w:ascii="仿宋_GB2312" w:eastAsia="仿宋_GB2312"/>
                <w:sz w:val="24"/>
                <w:szCs w:val="32"/>
              </w:rPr>
            </w:pPr>
          </w:p>
        </w:tc>
        <w:tc>
          <w:tcPr>
            <w:tcW w:w="1843" w:type="dxa"/>
            <w:vAlign w:val="center"/>
          </w:tcPr>
          <w:p>
            <w:pPr>
              <w:spacing w:line="240" w:lineRule="atLeast"/>
              <w:jc w:val="center"/>
              <w:rPr>
                <w:rFonts w:ascii="仿宋_GB2312" w:eastAsia="仿宋_GB2312"/>
                <w:sz w:val="24"/>
                <w:szCs w:val="32"/>
              </w:rPr>
            </w:pPr>
            <w:r>
              <w:rPr>
                <w:rFonts w:hint="eastAsia" w:ascii="仿宋_GB2312" w:eastAsia="仿宋_GB2312"/>
                <w:sz w:val="24"/>
                <w:szCs w:val="32"/>
              </w:rPr>
              <w:t>乍浦门村</w:t>
            </w:r>
          </w:p>
        </w:tc>
        <w:tc>
          <w:tcPr>
            <w:tcW w:w="3260" w:type="dxa"/>
            <w:vAlign w:val="center"/>
          </w:tcPr>
          <w:p>
            <w:pPr>
              <w:jc w:val="left"/>
              <w:rPr>
                <w:rFonts w:ascii="仿宋_GB2312" w:eastAsia="仿宋_GB2312"/>
                <w:sz w:val="24"/>
                <w:szCs w:val="32"/>
              </w:rPr>
            </w:pPr>
            <w:r>
              <w:rPr>
                <w:rFonts w:hint="eastAsia" w:ascii="仿宋_GB2312" w:eastAsia="仿宋_GB2312"/>
                <w:sz w:val="24"/>
                <w:szCs w:val="32"/>
              </w:rPr>
              <w:t>樟套万荣广场旁</w:t>
            </w:r>
          </w:p>
        </w:tc>
        <w:tc>
          <w:tcPr>
            <w:tcW w:w="1276" w:type="dxa"/>
            <w:vAlign w:val="center"/>
          </w:tcPr>
          <w:p>
            <w:pPr>
              <w:spacing w:line="240" w:lineRule="atLeast"/>
              <w:jc w:val="center"/>
              <w:rPr>
                <w:rFonts w:ascii="仿宋_GB2312" w:eastAsia="仿宋_GB2312"/>
                <w:sz w:val="24"/>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4" w:type="dxa"/>
            <w:vAlign w:val="center"/>
          </w:tcPr>
          <w:p>
            <w:pPr>
              <w:spacing w:line="240" w:lineRule="atLeast"/>
              <w:jc w:val="center"/>
              <w:rPr>
                <w:rFonts w:ascii="仿宋_GB2312" w:eastAsia="仿宋_GB2312"/>
                <w:b/>
                <w:sz w:val="24"/>
                <w:szCs w:val="32"/>
              </w:rPr>
            </w:pPr>
            <w:r>
              <w:rPr>
                <w:rFonts w:ascii="仿宋_GB2312" w:eastAsia="仿宋_GB2312"/>
                <w:b/>
                <w:sz w:val="24"/>
                <w:szCs w:val="32"/>
              </w:rPr>
              <w:t>合计</w:t>
            </w:r>
          </w:p>
        </w:tc>
        <w:tc>
          <w:tcPr>
            <w:tcW w:w="2268" w:type="dxa"/>
            <w:vAlign w:val="center"/>
          </w:tcPr>
          <w:p>
            <w:pPr>
              <w:spacing w:line="240" w:lineRule="atLeast"/>
              <w:jc w:val="center"/>
              <w:rPr>
                <w:rFonts w:ascii="仿宋_GB2312" w:eastAsia="仿宋_GB2312"/>
                <w:b/>
                <w:sz w:val="24"/>
                <w:szCs w:val="32"/>
              </w:rPr>
            </w:pPr>
            <w:r>
              <w:rPr>
                <w:rFonts w:hint="eastAsia" w:ascii="仿宋_GB2312" w:eastAsia="仿宋_GB2312"/>
                <w:b/>
                <w:sz w:val="24"/>
                <w:szCs w:val="32"/>
              </w:rPr>
              <w:t>6个</w:t>
            </w:r>
          </w:p>
        </w:tc>
        <w:tc>
          <w:tcPr>
            <w:tcW w:w="1843" w:type="dxa"/>
            <w:vAlign w:val="center"/>
          </w:tcPr>
          <w:p>
            <w:pPr>
              <w:spacing w:line="240" w:lineRule="atLeast"/>
              <w:jc w:val="center"/>
              <w:rPr>
                <w:rFonts w:ascii="仿宋_GB2312" w:eastAsia="仿宋_GB2312"/>
                <w:b/>
                <w:sz w:val="24"/>
                <w:szCs w:val="32"/>
              </w:rPr>
            </w:pPr>
          </w:p>
        </w:tc>
        <w:tc>
          <w:tcPr>
            <w:tcW w:w="3260" w:type="dxa"/>
            <w:vAlign w:val="center"/>
          </w:tcPr>
          <w:p>
            <w:pPr>
              <w:jc w:val="center"/>
              <w:rPr>
                <w:rFonts w:ascii="仿宋_GB2312" w:eastAsia="仿宋_GB2312"/>
                <w:b/>
                <w:sz w:val="24"/>
                <w:szCs w:val="32"/>
              </w:rPr>
            </w:pPr>
            <w:r>
              <w:rPr>
                <w:rFonts w:hint="eastAsia" w:ascii="仿宋_GB2312" w:eastAsia="仿宋_GB2312"/>
                <w:b/>
                <w:sz w:val="24"/>
                <w:szCs w:val="32"/>
              </w:rPr>
              <w:t>30个</w:t>
            </w:r>
          </w:p>
        </w:tc>
        <w:tc>
          <w:tcPr>
            <w:tcW w:w="1276" w:type="dxa"/>
            <w:vAlign w:val="center"/>
          </w:tcPr>
          <w:p>
            <w:pPr>
              <w:spacing w:line="240" w:lineRule="atLeast"/>
              <w:jc w:val="center"/>
              <w:rPr>
                <w:rFonts w:ascii="仿宋_GB2312" w:eastAsia="仿宋_GB2312"/>
                <w:sz w:val="24"/>
                <w:szCs w:val="32"/>
              </w:rPr>
            </w:pPr>
          </w:p>
        </w:tc>
      </w:tr>
    </w:tbl>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附件8</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岱山县2022年“马路拉链”规范行动</w:t>
      </w:r>
    </w:p>
    <w:p>
      <w:pPr>
        <w:spacing w:line="560" w:lineRule="exact"/>
        <w:jc w:val="center"/>
        <w:rPr>
          <w:rFonts w:ascii="仿宋_GB2312" w:eastAsia="仿宋_GB2312"/>
          <w:sz w:val="32"/>
          <w:szCs w:val="32"/>
        </w:rPr>
      </w:pPr>
      <w:r>
        <w:rPr>
          <w:rFonts w:hint="eastAsia" w:ascii="方正小标宋简体" w:eastAsia="方正小标宋简体"/>
          <w:sz w:val="44"/>
          <w:szCs w:val="44"/>
        </w:rPr>
        <w:t>实施方案</w:t>
      </w:r>
      <w:r>
        <w:rPr>
          <w:rFonts w:hint="eastAsia" w:ascii="方正小标宋简体" w:eastAsia="方正小标宋简体"/>
          <w:sz w:val="44"/>
          <w:szCs w:val="44"/>
        </w:rPr>
        <w:cr/>
      </w:r>
      <w:r>
        <w:rPr>
          <w:rFonts w:hint="eastAsia" w:ascii="仿宋_GB2312" w:eastAsia="仿宋_GB2312"/>
          <w:sz w:val="32"/>
          <w:szCs w:val="32"/>
        </w:rPr>
        <w:t xml:space="preserve">  </w:t>
      </w:r>
    </w:p>
    <w:p>
      <w:pPr>
        <w:spacing w:line="560" w:lineRule="exact"/>
        <w:jc w:val="center"/>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为全面提升城市环境品质，全力保障城市道路、环境完好度，针对历年来</w:t>
      </w:r>
      <w:r>
        <w:rPr>
          <w:rFonts w:hint="eastAsia" w:ascii="仿宋_GB2312" w:eastAsia="仿宋_GB2312"/>
          <w:color w:val="FF0000"/>
          <w:sz w:val="32"/>
          <w:szCs w:val="32"/>
        </w:rPr>
        <w:t>全县</w:t>
      </w:r>
      <w:r>
        <w:rPr>
          <w:rFonts w:hint="eastAsia" w:ascii="仿宋_GB2312" w:eastAsia="仿宋_GB2312"/>
          <w:sz w:val="32"/>
          <w:szCs w:val="32"/>
        </w:rPr>
        <w:t xml:space="preserve">道路存在不同程度反复开挖维修而出现的“马路拉链”问题，根据《中华人民共和国公路法》、《城市道路管理条例》、《舟山市城市地下管线管理办法》等有关法规条例要求，结合我县实际情况，制定本方案：  </w:t>
      </w: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 xml:space="preserve">一、工作目标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本次专项行动为期一年，通过一年的努力，通过强化城市道路规划、建设、管理的统筹协调，形成信息互通、资源共享、权责统一的工作体系，建立科学的长效管理机制，促进我</w:t>
      </w:r>
      <w:r>
        <w:rPr>
          <w:rFonts w:hint="eastAsia" w:ascii="仿宋_GB2312" w:eastAsia="仿宋_GB2312"/>
          <w:color w:val="FF0000"/>
          <w:sz w:val="32"/>
          <w:szCs w:val="32"/>
        </w:rPr>
        <w:t>县</w:t>
      </w:r>
      <w:r>
        <w:rPr>
          <w:rFonts w:hint="eastAsia" w:ascii="仿宋_GB2312" w:eastAsia="仿宋_GB2312"/>
          <w:sz w:val="32"/>
          <w:szCs w:val="32"/>
        </w:rPr>
        <w:t xml:space="preserve">城市道路建设管理水平提升，有效减少“马路拉链”现象，提高群众出行舒适度，创造更优美和谐的生活环境。  </w:t>
      </w:r>
    </w:p>
    <w:p>
      <w:pPr>
        <w:spacing w:line="560" w:lineRule="exact"/>
        <w:ind w:firstLine="640" w:firstLineChars="200"/>
        <w:jc w:val="left"/>
        <w:rPr>
          <w:rFonts w:ascii="仿宋_GB2312" w:eastAsia="仿宋_GB2312"/>
          <w:sz w:val="32"/>
          <w:szCs w:val="32"/>
        </w:rPr>
      </w:pPr>
      <w:r>
        <w:rPr>
          <w:rFonts w:hint="eastAsia" w:ascii="黑体" w:hAnsi="黑体" w:eastAsia="黑体"/>
          <w:sz w:val="32"/>
          <w:szCs w:val="32"/>
        </w:rPr>
        <w:t xml:space="preserve">二、工作举措 </w:t>
      </w:r>
      <w:r>
        <w:rPr>
          <w:rFonts w:hint="eastAsia" w:ascii="仿宋_GB2312" w:eastAsia="仿宋_GB2312"/>
          <w:sz w:val="32"/>
          <w:szCs w:val="32"/>
        </w:rPr>
        <w:t xml:space="preserve"> </w:t>
      </w:r>
    </w:p>
    <w:p>
      <w:pPr>
        <w:spacing w:line="560" w:lineRule="exact"/>
        <w:ind w:firstLine="640" w:firstLineChars="200"/>
        <w:jc w:val="left"/>
        <w:rPr>
          <w:rFonts w:ascii="楷体_GB2312" w:eastAsia="楷体_GB2312"/>
          <w:sz w:val="32"/>
          <w:szCs w:val="32"/>
        </w:rPr>
      </w:pPr>
      <w:r>
        <w:rPr>
          <w:rFonts w:hint="eastAsia" w:ascii="楷体_GB2312" w:eastAsia="楷体_GB2312"/>
          <w:sz w:val="32"/>
          <w:szCs w:val="32"/>
        </w:rPr>
        <w:t xml:space="preserve">（一）统一规划，同步实施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城市地下管线综合规划应加强与地下空间、道路交通、人防建设等规划的衔接和协调，并作为控制性详细规划和地下管线建设规划的基本依据。新改扩建、大修城市道路项目须按规划要求设计，对地下管网及道路附属设施提出统筹规划建设要求，按照先地下、后地上的原则，统筹安排、统一协调、同步实施。</w:t>
      </w:r>
      <w:r>
        <w:rPr>
          <w:rFonts w:hint="eastAsia" w:ascii="仿宋_GB2312" w:eastAsia="仿宋_GB2312"/>
          <w:b/>
          <w:sz w:val="32"/>
          <w:szCs w:val="32"/>
        </w:rPr>
        <w:t>（牵头单位：县住建局、县自然资源和规划局，责任单位：各管线权属单位）</w:t>
      </w:r>
      <w:r>
        <w:rPr>
          <w:rFonts w:hint="eastAsia" w:ascii="仿宋_GB2312" w:eastAsia="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楷体_GB2312" w:eastAsia="楷体_GB2312"/>
          <w:sz w:val="32"/>
          <w:szCs w:val="32"/>
        </w:rPr>
        <w:t>（二）统筹协调，强化沟通</w:t>
      </w:r>
      <w:r>
        <w:rPr>
          <w:rFonts w:hint="eastAsia" w:ascii="仿宋_GB2312" w:eastAsia="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要按照“一条道路、一个期限、一次开挖、一类标准”原则建立信息共享平台和统筹协调机制，制定辖区年度城市道路新、改、扩建和大修计划，各管线权署单位要分区域制定年度道路开挖需求计划，强化信息互通，调整建设时序，减少路面开挖次数。</w:t>
      </w:r>
      <w:r>
        <w:rPr>
          <w:rFonts w:hint="eastAsia" w:ascii="仿宋_GB2312" w:eastAsia="仿宋_GB2312"/>
          <w:b/>
          <w:sz w:val="32"/>
          <w:szCs w:val="32"/>
        </w:rPr>
        <w:t xml:space="preserve">（牵头单位：县住建局，责任单位：各管线权属单位）  </w:t>
      </w:r>
    </w:p>
    <w:p>
      <w:pPr>
        <w:spacing w:line="560" w:lineRule="exact"/>
        <w:ind w:firstLine="640" w:firstLineChars="200"/>
        <w:jc w:val="left"/>
        <w:rPr>
          <w:rFonts w:ascii="仿宋_GB2312" w:eastAsia="仿宋_GB2312"/>
          <w:sz w:val="32"/>
          <w:szCs w:val="32"/>
        </w:rPr>
      </w:pPr>
      <w:r>
        <w:rPr>
          <w:rFonts w:hint="eastAsia" w:ascii="楷体_GB2312" w:eastAsia="楷体_GB2312"/>
          <w:sz w:val="32"/>
          <w:szCs w:val="32"/>
        </w:rPr>
        <w:t>（三）依法审批，提升服务</w:t>
      </w:r>
      <w:r>
        <w:rPr>
          <w:rFonts w:hint="eastAsia" w:ascii="仿宋_GB2312" w:eastAsia="仿宋_GB2312"/>
          <w:sz w:val="32"/>
          <w:szCs w:val="32"/>
        </w:rPr>
        <w:t xml:space="preserve">  </w:t>
      </w:r>
    </w:p>
    <w:p>
      <w:pPr>
        <w:spacing w:line="560" w:lineRule="exact"/>
        <w:ind w:firstLine="640" w:firstLineChars="200"/>
        <w:jc w:val="left"/>
        <w:rPr>
          <w:rFonts w:ascii="仿宋_GB2312" w:eastAsia="仿宋_GB2312"/>
          <w:b/>
          <w:sz w:val="32"/>
          <w:szCs w:val="32"/>
        </w:rPr>
      </w:pPr>
      <w:r>
        <w:rPr>
          <w:rFonts w:hint="eastAsia" w:ascii="仿宋_GB2312" w:eastAsia="仿宋_GB2312"/>
          <w:sz w:val="32"/>
          <w:szCs w:val="32"/>
        </w:rPr>
        <w:t>根据“最多跑一次”要求，按照“新、改、扩建道路5年内，大修道路3年内不得开挖”、“特殊情况必须审批”的原则，严格落实城市道路挖掘审批（备案）制度。围绕服务大局，对城市建设项目各类开挖计划进行有机结合，统筹兼顾，谋求区域整体发展，杜绝重复建设。</w:t>
      </w:r>
      <w:r>
        <w:rPr>
          <w:rFonts w:hint="eastAsia" w:ascii="仿宋_GB2312" w:eastAsia="仿宋_GB2312"/>
          <w:b/>
          <w:sz w:val="32"/>
          <w:szCs w:val="32"/>
        </w:rPr>
        <w:t xml:space="preserve">（牵头单位：县综合行政执法局，责任单位：县住建局、各管线权属单位、县安澜城投集团）  </w:t>
      </w:r>
    </w:p>
    <w:p>
      <w:pPr>
        <w:spacing w:line="560" w:lineRule="exact"/>
        <w:ind w:firstLine="640" w:firstLineChars="200"/>
        <w:jc w:val="left"/>
        <w:rPr>
          <w:rFonts w:ascii="仿宋_GB2312" w:eastAsia="仿宋_GB2312"/>
          <w:sz w:val="32"/>
          <w:szCs w:val="32"/>
        </w:rPr>
      </w:pPr>
      <w:r>
        <w:rPr>
          <w:rFonts w:hint="eastAsia" w:ascii="楷体_GB2312" w:eastAsia="楷体_GB2312"/>
          <w:sz w:val="32"/>
          <w:szCs w:val="32"/>
        </w:rPr>
        <w:t>（四）科学组织，文明施工</w:t>
      </w:r>
      <w:r>
        <w:rPr>
          <w:rFonts w:hint="eastAsia" w:ascii="仿宋_GB2312" w:eastAsia="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科学组织，同一路段做到同期施工、统一恢复；建设单位要严格落实市政工程施工现场管理的主体责任，督导施工单位严格落实安全文明施工标准。按照《城市道路挖掘与修复管理规范》、《城市道路挖掘修复技术规程》等规范要求，严格质量把控，切实保障道路修复后的平整度和通行舒适  度。</w:t>
      </w:r>
      <w:r>
        <w:rPr>
          <w:rFonts w:hint="eastAsia" w:ascii="仿宋_GB2312" w:eastAsia="仿宋_GB2312"/>
          <w:b/>
          <w:sz w:val="32"/>
          <w:szCs w:val="32"/>
        </w:rPr>
        <w:t xml:space="preserve">（牵头单位：县住建局，责任单位：各管线权属单位、县安澜城投集团） </w:t>
      </w:r>
      <w:r>
        <w:rPr>
          <w:rFonts w:hint="eastAsia" w:ascii="仿宋_GB2312" w:eastAsia="仿宋_GB2312"/>
          <w:sz w:val="32"/>
          <w:szCs w:val="32"/>
        </w:rPr>
        <w:t xml:space="preserve"> </w:t>
      </w:r>
    </w:p>
    <w:p>
      <w:pPr>
        <w:spacing w:line="560" w:lineRule="exact"/>
        <w:ind w:firstLine="640" w:firstLineChars="200"/>
        <w:jc w:val="left"/>
        <w:rPr>
          <w:rFonts w:ascii="楷体_GB2312" w:eastAsia="楷体_GB2312"/>
          <w:sz w:val="32"/>
          <w:szCs w:val="32"/>
        </w:rPr>
      </w:pPr>
      <w:r>
        <w:rPr>
          <w:rFonts w:hint="eastAsia" w:ascii="楷体_GB2312" w:eastAsia="楷体_GB2312"/>
          <w:sz w:val="32"/>
          <w:szCs w:val="32"/>
        </w:rPr>
        <w:t xml:space="preserve">（五）严格执法，强化监管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严肃查处未经审批挖掘城市道路和违反文明施工规定或落实有关技术标准、管理要求不到位的行为，按照“零容忍”的执法原则，依法从严从重处理。逐步将未经审批或未按规定补办批准手续的掘路行为纳入管线单位和施工单位信用档案。</w:t>
      </w:r>
      <w:r>
        <w:rPr>
          <w:rFonts w:hint="eastAsia" w:ascii="仿宋_GB2312" w:eastAsia="仿宋_GB2312"/>
          <w:b/>
          <w:sz w:val="32"/>
          <w:szCs w:val="32"/>
        </w:rPr>
        <w:t xml:space="preserve">（牵头单位：县综合行政执法局，责任单位：各管线权属单位、县安澜城投集团）  </w:t>
      </w:r>
    </w:p>
    <w:p>
      <w:pPr>
        <w:spacing w:line="560" w:lineRule="exact"/>
        <w:ind w:firstLine="640" w:firstLineChars="200"/>
        <w:jc w:val="left"/>
        <w:rPr>
          <w:rFonts w:ascii="仿宋_GB2312" w:eastAsia="仿宋_GB2312"/>
          <w:sz w:val="32"/>
          <w:szCs w:val="32"/>
        </w:rPr>
      </w:pPr>
      <w:r>
        <w:rPr>
          <w:rFonts w:hint="eastAsia" w:ascii="楷体_GB2312" w:eastAsia="楷体_GB2312"/>
          <w:sz w:val="32"/>
          <w:szCs w:val="32"/>
        </w:rPr>
        <w:t xml:space="preserve">（六）长效管理，信息公开 </w:t>
      </w:r>
      <w:r>
        <w:rPr>
          <w:rFonts w:hint="eastAsia" w:ascii="仿宋_GB2312" w:eastAsia="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根据市层面制定的“关于规范城市道路管理避免重复开挖的指导意见”，建立科学的长效管理机制；切实强化信息公开，将道路开挖相关信息通过网络平台或施工现场告示等方式向社会公开，接受群众监督。（牵头单位：县住建局、县综合行政执法局，责任单位：各管线权属单位、县安澜城投集团）  </w:t>
      </w:r>
    </w:p>
    <w:p>
      <w:pPr>
        <w:spacing w:line="560" w:lineRule="exact"/>
        <w:ind w:firstLine="640" w:firstLineChars="200"/>
        <w:jc w:val="left"/>
        <w:rPr>
          <w:rFonts w:ascii="仿宋_GB2312" w:eastAsia="仿宋_GB2312"/>
          <w:sz w:val="32"/>
          <w:szCs w:val="32"/>
        </w:rPr>
      </w:pPr>
      <w:r>
        <w:rPr>
          <w:rFonts w:hint="eastAsia" w:ascii="黑体" w:hAnsi="黑体" w:eastAsia="黑体"/>
          <w:sz w:val="32"/>
          <w:szCs w:val="32"/>
        </w:rPr>
        <w:t xml:space="preserve">三、实施步骤 </w:t>
      </w:r>
      <w:r>
        <w:rPr>
          <w:rFonts w:hint="eastAsia" w:ascii="仿宋_GB2312" w:eastAsia="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岱山县2022年“马路拉链”专项整治行动全年工作任务分四个阶段，即：调查摸底阶段、管理协调阶段、实施监管阶段、长效管理阶段。  </w:t>
      </w:r>
    </w:p>
    <w:p>
      <w:pPr>
        <w:spacing w:line="560" w:lineRule="exact"/>
        <w:ind w:firstLine="640" w:firstLineChars="200"/>
        <w:jc w:val="left"/>
        <w:rPr>
          <w:rFonts w:ascii="楷体_GB2312" w:eastAsia="楷体_GB2312"/>
          <w:sz w:val="32"/>
          <w:szCs w:val="32"/>
        </w:rPr>
      </w:pPr>
      <w:r>
        <w:rPr>
          <w:rFonts w:hint="eastAsia" w:ascii="楷体_GB2312" w:eastAsia="楷体_GB2312"/>
          <w:sz w:val="32"/>
          <w:szCs w:val="32"/>
        </w:rPr>
        <w:t xml:space="preserve">（一）调查摸底阶段（2022年3月底前）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1、对辖区内各类新改扩建和大修道路项目进行全面摸底，建立“2022年新改扩建和大修道路项目计划清单”，并明确具体实施路段和施工期限。同时对近几年实施的城区  道路改造项目进行调查，建立“5年内实施的新改扩建、3年内实施的大修道路项目清单”。由县住建局牵头，汇总后于3月31日前将两张清单报县整治办。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2、县住建局协调各管线权属单位对2022年计划实施的管线改造和报装项目进行梳理，制定“2022年度道路开挖需求清单”，并明确具体实施路段和时间，于3月31日前将清单报县整治办。</w:t>
      </w:r>
    </w:p>
    <w:p>
      <w:pPr>
        <w:spacing w:line="560" w:lineRule="exact"/>
        <w:ind w:firstLine="640" w:firstLineChars="200"/>
        <w:jc w:val="left"/>
        <w:rPr>
          <w:rFonts w:ascii="楷体_GB2312" w:eastAsia="楷体_GB2312"/>
          <w:sz w:val="32"/>
          <w:szCs w:val="32"/>
        </w:rPr>
      </w:pPr>
      <w:r>
        <w:rPr>
          <w:rFonts w:hint="eastAsia" w:ascii="楷体_GB2312" w:eastAsia="楷体_GB2312"/>
          <w:sz w:val="32"/>
          <w:szCs w:val="32"/>
        </w:rPr>
        <w:t xml:space="preserve">（二）管理协调阶段（2022年4月底前）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召集县住建局、县综合行政执法局、县交警大队、县资源规划局和各管线权属单位通过召开协调会等方式，梳理本区“2022年新改扩建和大修道路项目计划清单”和“2022年度道路开挖需求清单”，建立信息互通平台和协调机制，按照“一条道路、一个期限、一次开挖、一类标准”的原则，科学分析，适当调整项目时序，尽量减少路面开挖次数，并形成“2022年道路开挖计划清单”，于4月底前报县整治办。  </w:t>
      </w:r>
    </w:p>
    <w:p>
      <w:pPr>
        <w:spacing w:line="560" w:lineRule="exact"/>
        <w:ind w:firstLine="640" w:firstLineChars="200"/>
        <w:jc w:val="left"/>
        <w:rPr>
          <w:rFonts w:ascii="楷体_GB2312" w:eastAsia="楷体_GB2312"/>
          <w:sz w:val="32"/>
          <w:szCs w:val="32"/>
        </w:rPr>
      </w:pPr>
      <w:r>
        <w:rPr>
          <w:rFonts w:hint="eastAsia" w:ascii="楷体_GB2312" w:eastAsia="楷体_GB2312"/>
          <w:sz w:val="32"/>
          <w:szCs w:val="32"/>
        </w:rPr>
        <w:t xml:space="preserve">（三）实施监管阶段（2022年5月至10月）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1、按照“新建、扩建、改建的城市道路交付使用后5年内、大修的城市道路竣工后3年内不得挖掘；因特殊情况需要挖掘的，须经县级以上城市人民政府批准”的原则，严格落实城市道路挖掘审批（备案）制度，并将当月审批事项汇总表于每月23日前报县整治办。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2、由县整治办牵头，依托“城管网格”等平台，对照 “2022年道路开挖计划清单”和“5年内实施的新改扩建、3年内实施的大修道路项目清单”，对城区道路开挖情况开展月度督查，对未经审批（备案）和计划外（除新增报装项目）的挖掘城市道路行为进行严肃通报、依法查处。  </w:t>
      </w:r>
    </w:p>
    <w:p>
      <w:pPr>
        <w:spacing w:line="560" w:lineRule="exact"/>
        <w:ind w:firstLine="640" w:firstLineChars="200"/>
        <w:jc w:val="left"/>
        <w:rPr>
          <w:rFonts w:ascii="楷体_GB2312" w:eastAsia="楷体_GB2312"/>
          <w:sz w:val="32"/>
          <w:szCs w:val="32"/>
        </w:rPr>
      </w:pPr>
      <w:r>
        <w:rPr>
          <w:rFonts w:hint="eastAsia" w:ascii="楷体_GB2312" w:eastAsia="楷体_GB2312"/>
          <w:sz w:val="32"/>
          <w:szCs w:val="32"/>
        </w:rPr>
        <w:t xml:space="preserve">（四）长效管理阶段（2022年11月至12月）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总结分析“马路拉链”专项整治行动成果和经验，对照城市管理工作要求，有效执行市制定的“关于规范城市道路管理避免重复开挖的指导意见”。</w:t>
      </w:r>
    </w:p>
    <w:p>
      <w:pPr>
        <w:spacing w:line="560" w:lineRule="exact"/>
        <w:ind w:firstLine="640" w:firstLineChars="200"/>
        <w:jc w:val="left"/>
        <w:rPr>
          <w:rFonts w:ascii="仿宋_GB2312" w:eastAsia="仿宋_GB2312"/>
          <w:sz w:val="32"/>
          <w:szCs w:val="32"/>
        </w:rPr>
      </w:pPr>
      <w:r>
        <w:rPr>
          <w:rFonts w:hint="eastAsia" w:ascii="黑体" w:hAnsi="黑体" w:eastAsia="黑体"/>
          <w:sz w:val="32"/>
          <w:szCs w:val="32"/>
        </w:rPr>
        <w:t xml:space="preserve">四、工作要求 </w:t>
      </w:r>
      <w:r>
        <w:rPr>
          <w:rFonts w:hint="eastAsia" w:ascii="仿宋_GB2312" w:eastAsia="仿宋_GB2312"/>
          <w:sz w:val="32"/>
          <w:szCs w:val="32"/>
        </w:rPr>
        <w:t xml:space="preserve"> </w:t>
      </w:r>
    </w:p>
    <w:p>
      <w:pPr>
        <w:spacing w:line="560" w:lineRule="exact"/>
        <w:ind w:firstLine="640" w:firstLineChars="200"/>
        <w:jc w:val="left"/>
        <w:rPr>
          <w:rFonts w:ascii="楷体_GB2312" w:eastAsia="楷体_GB2312"/>
          <w:sz w:val="32"/>
          <w:szCs w:val="32"/>
        </w:rPr>
      </w:pPr>
      <w:r>
        <w:rPr>
          <w:rFonts w:hint="eastAsia" w:ascii="楷体_GB2312" w:eastAsia="楷体_GB2312"/>
          <w:sz w:val="32"/>
          <w:szCs w:val="32"/>
        </w:rPr>
        <w:t xml:space="preserve">（一）高度重视，加强组织领导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要充分认识本次整治行动的重要性，切实加强组织领导，建立由县自然资源和规划局、县住建局、县执法局、县交通局、县公安局、市生态环境局岱山分局、县文旅局及燃气公司、自来水公司、电力公司、移动公司、联通公司、电信公司等相关部门和单位组成的联席会议制度，精心组织，周密部署，瞄准突出问题和薄弱环节，层层细化任务和落实责任，确保整治行动顺利推进。</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 </w:t>
      </w:r>
      <w:r>
        <w:rPr>
          <w:rFonts w:hint="eastAsia" w:ascii="楷体_GB2312" w:eastAsia="楷体_GB2312"/>
          <w:sz w:val="32"/>
          <w:szCs w:val="32"/>
        </w:rPr>
        <w:t xml:space="preserve">（二）部门联动，形成工作合力 </w:t>
      </w:r>
      <w:r>
        <w:rPr>
          <w:rFonts w:hint="eastAsia" w:ascii="仿宋_GB2312" w:eastAsia="仿宋_GB2312"/>
          <w:sz w:val="32"/>
          <w:szCs w:val="32"/>
        </w:rPr>
        <w:t xml:space="preserve">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 xml:space="preserve">各单位要建立工作联络机制，建立信息互通平台，加强沟通协调，打破行业壁垒，消灭信息孤岛，形成工作合力，共同抓好抓紧落实，共同推进“马路拉链”专项整治行动，切实有效提升道路修复水平。  </w:t>
      </w:r>
    </w:p>
    <w:p>
      <w:pPr>
        <w:spacing w:line="560" w:lineRule="exact"/>
        <w:ind w:firstLine="640" w:firstLineChars="200"/>
        <w:jc w:val="left"/>
        <w:rPr>
          <w:rFonts w:ascii="楷体_GB2312" w:eastAsia="楷体_GB2312"/>
          <w:sz w:val="32"/>
          <w:szCs w:val="32"/>
        </w:rPr>
      </w:pPr>
      <w:r>
        <w:rPr>
          <w:rFonts w:hint="eastAsia" w:ascii="楷体_GB2312" w:eastAsia="楷体_GB2312"/>
          <w:sz w:val="32"/>
          <w:szCs w:val="32"/>
        </w:rPr>
        <w:t xml:space="preserve">（三）宣传引导，压实主体责任  </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要深入宣贯《城市道路管理条例》、《舟山市城市地下管线管理办法》，不断提升一线工作人员的理论修养和业务能力，提高城市道路修复的专业化、规范化、法制化水平。充分发挥处室业务职能，对未办理行政审批擅自挖掘损坏城市道路等行为进行通报处罚，督促整改落实。</w:t>
      </w: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ascii="黑体" w:hAnsi="黑体" w:eastAsia="黑体"/>
          <w:sz w:val="32"/>
          <w:szCs w:val="32"/>
        </w:rPr>
      </w:pPr>
      <w:r>
        <w:rPr>
          <w:rFonts w:hint="eastAsia" w:ascii="黑体" w:hAnsi="黑体" w:eastAsia="黑体"/>
          <w:sz w:val="32"/>
          <w:szCs w:val="32"/>
        </w:rPr>
        <w:t>附件9</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岱山县2022年广场舞规范整治行动</w:t>
      </w:r>
    </w:p>
    <w:p>
      <w:pPr>
        <w:spacing w:line="560" w:lineRule="exact"/>
        <w:jc w:val="center"/>
        <w:rPr>
          <w:rFonts w:ascii="仿宋_GB2312" w:eastAsia="仿宋_GB2312"/>
          <w:sz w:val="32"/>
          <w:szCs w:val="32"/>
        </w:rPr>
      </w:pPr>
      <w:r>
        <w:rPr>
          <w:rFonts w:hint="eastAsia" w:ascii="方正小标宋简体" w:eastAsia="方正小标宋简体"/>
          <w:sz w:val="44"/>
          <w:szCs w:val="44"/>
        </w:rPr>
        <w:t>实施方案</w:t>
      </w:r>
      <w:r>
        <w:rPr>
          <w:rFonts w:hint="eastAsia" w:ascii="方正小标宋简体" w:eastAsia="方正小标宋简体"/>
          <w:sz w:val="44"/>
          <w:szCs w:val="44"/>
        </w:rPr>
        <w:cr/>
      </w:r>
      <w:r>
        <w:rPr>
          <w:rFonts w:hint="eastAsia"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为了进一步提升城市精细化管理水平，助力全国县级文明城市创建，根据《岱山县2022年城乡环境综合整治提升行动实施方案》相关要求，制定本实施方案。</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一、工作目标</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围绕当前市民群众反映强烈的问题，对广场舞进行规范管理，通过控制音响分贝、明确舞点，限定人数、时间等要素，减少广场舞对市民群众带来的噪音影响，通过制定广场舞管理标准等机制，强化制度约束，提高各舞团自我管理，达到健身与人为居住环境和谐发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二、整治范围</w:t>
      </w:r>
    </w:p>
    <w:p>
      <w:pPr>
        <w:spacing w:line="560" w:lineRule="exact"/>
        <w:ind w:firstLine="480" w:firstLineChars="150"/>
        <w:rPr>
          <w:rFonts w:ascii="仿宋_GB2312" w:eastAsia="仿宋_GB2312"/>
          <w:sz w:val="32"/>
          <w:szCs w:val="32"/>
        </w:rPr>
      </w:pPr>
      <w:r>
        <w:rPr>
          <w:rFonts w:ascii="仿宋_GB2312" w:eastAsia="仿宋_GB2312"/>
          <w:sz w:val="32"/>
          <w:szCs w:val="32"/>
        </w:rPr>
        <w:t>对高亭城区所有的广场舞点位进行规范管理，重点规范提升以下</w:t>
      </w:r>
      <w:r>
        <w:rPr>
          <w:rFonts w:hint="eastAsia" w:ascii="仿宋_GB2312" w:eastAsia="仿宋_GB2312"/>
          <w:sz w:val="32"/>
          <w:szCs w:val="32"/>
        </w:rPr>
        <w:t>2个：新区观海平台、行政中心广场。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三、工作措施</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（一）实行舞团报备。</w:t>
      </w:r>
      <w:r>
        <w:rPr>
          <w:rFonts w:hint="eastAsia" w:ascii="仿宋_GB2312" w:eastAsia="仿宋_GB2312"/>
          <w:sz w:val="32"/>
          <w:szCs w:val="32"/>
        </w:rPr>
        <w:t>县文旅局要对广场舞团进行规范化管理，与各舞团负责人签订《广场舞文明公约》，实行统一监管，源头管理，掌握人数、地点等详细信息，并实时更新数据，以指导促管理，以服务促规范，培养广场舞文化。</w:t>
      </w:r>
      <w:r>
        <w:rPr>
          <w:rFonts w:hint="eastAsia" w:ascii="仿宋_GB2312" w:eastAsia="仿宋_GB2312"/>
          <w:sz w:val="32"/>
          <w:szCs w:val="32"/>
        </w:rPr>
        <w:cr/>
      </w:r>
      <w:r>
        <w:rPr>
          <w:rFonts w:hint="eastAsia" w:ascii="仿宋_GB2312" w:eastAsia="仿宋_GB2312"/>
          <w:sz w:val="32"/>
          <w:szCs w:val="32"/>
        </w:rPr>
        <w:t xml:space="preserve">   </w:t>
      </w:r>
      <w:r>
        <w:rPr>
          <w:rFonts w:hint="eastAsia" w:ascii="楷体_GB2312" w:eastAsia="楷体_GB2312"/>
          <w:sz w:val="32"/>
          <w:szCs w:val="32"/>
        </w:rPr>
        <w:t xml:space="preserve"> （二）落实“四限”管理。</w:t>
      </w:r>
      <w:r>
        <w:rPr>
          <w:rFonts w:hint="eastAsia" w:ascii="仿宋_GB2312" w:eastAsia="仿宋_GB2312"/>
          <w:sz w:val="32"/>
          <w:szCs w:val="32"/>
        </w:rPr>
        <w:t>根据广场舞实际要求，严格落实“限区域、限时段、限音量、限人数”的管控措施。即县综合行政执法局会同县公安局规定广场舞的始末时间及限制区域人数最大范围；市生态环境局岱山分局根据《舟山市城市声环境功能区划分方案》对广场舞影响的噪声敏感建筑物集中区域边界进行分贝检测，结合区域实际在固定点位设置安装分贝仪，以更直观地提醒广场舞团体控制音量。</w:t>
      </w:r>
    </w:p>
    <w:p>
      <w:pPr>
        <w:spacing w:line="560" w:lineRule="exact"/>
        <w:ind w:firstLine="640" w:firstLineChars="200"/>
        <w:rPr>
          <w:rFonts w:ascii="仿宋_GB2312" w:eastAsia="仿宋_GB2312"/>
          <w:sz w:val="32"/>
          <w:szCs w:val="32"/>
        </w:rPr>
      </w:pPr>
      <w:r>
        <w:rPr>
          <w:rFonts w:hint="eastAsia" w:ascii="楷体_GB2312" w:eastAsia="楷体_GB2312"/>
          <w:sz w:val="32"/>
          <w:szCs w:val="32"/>
        </w:rPr>
        <w:t>（四）强化部门监管。</w:t>
      </w:r>
      <w:r>
        <w:rPr>
          <w:rFonts w:hint="eastAsia" w:ascii="仿宋_GB2312" w:eastAsia="仿宋_GB2312"/>
          <w:sz w:val="32"/>
          <w:szCs w:val="32"/>
        </w:rPr>
        <w:t>要成立广场舞整治小组，各小组成员单位要</w:t>
      </w:r>
      <w:bookmarkStart w:id="2" w:name="_GoBack"/>
      <w:bookmarkEnd w:id="2"/>
      <w:r>
        <w:rPr>
          <w:rFonts w:hint="eastAsia" w:ascii="仿宋_GB2312" w:eastAsia="仿宋_GB2312"/>
          <w:sz w:val="32"/>
          <w:szCs w:val="32"/>
        </w:rPr>
        <w:t>各司其职，齐抓共管，形成工作合力。县文旅局要落实舞团报备制度，加强宣传教育，引导市民群众自觉遵守法律法规；县综合行政执法局要加强日常巡查，及时发现劝阻广场舞噪声扰民问题；县公安局要保障执法部门执法工作，受理相关投诉、举报；市环保局岱山分局要对区域噪音进行监测，提供技术指导。</w:t>
      </w:r>
      <w:r>
        <w:rPr>
          <w:rFonts w:hint="eastAsia" w:ascii="仿宋_GB2312" w:eastAsia="仿宋_GB2312"/>
          <w:sz w:val="32"/>
          <w:szCs w:val="32"/>
        </w:rPr>
        <w:cr/>
      </w:r>
      <w:r>
        <w:rPr>
          <w:rFonts w:hint="eastAsia" w:ascii="仿宋_GB2312" w:eastAsia="仿宋_GB2312"/>
          <w:sz w:val="32"/>
          <w:szCs w:val="32"/>
        </w:rPr>
        <w:t xml:space="preserve">     </w:t>
      </w:r>
      <w:r>
        <w:rPr>
          <w:rFonts w:hint="eastAsia" w:ascii="黑体" w:hAnsi="黑体" w:eastAsia="黑体"/>
          <w:sz w:val="32"/>
          <w:szCs w:val="32"/>
        </w:rPr>
        <w:t>四、实施步骤</w:t>
      </w:r>
      <w:r>
        <w:rPr>
          <w:rFonts w:hint="eastAsia" w:ascii="黑体" w:hAnsi="黑体" w:eastAsia="黑体"/>
          <w:sz w:val="32"/>
          <w:szCs w:val="32"/>
        </w:rPr>
        <w:cr/>
      </w:r>
      <w:r>
        <w:rPr>
          <w:rFonts w:hint="eastAsia" w:ascii="仿宋_GB2312" w:eastAsia="仿宋_GB2312"/>
          <w:sz w:val="32"/>
          <w:szCs w:val="32"/>
        </w:rPr>
        <w:t xml:space="preserve">   （一）动员部署阶段（2022年4月底前）。细化行动方案，逐项列出进度清单，制定月度实施计划，确定责任人及联络员，确保每项工作有目标、有进度。</w:t>
      </w:r>
    </w:p>
    <w:p>
      <w:pPr>
        <w:spacing w:line="560" w:lineRule="exact"/>
        <w:ind w:firstLine="640" w:firstLineChars="200"/>
        <w:rPr>
          <w:rFonts w:ascii="黑体" w:hAnsi="黑体" w:eastAsia="黑体"/>
          <w:sz w:val="32"/>
          <w:szCs w:val="32"/>
        </w:rPr>
      </w:pPr>
      <w:r>
        <w:rPr>
          <w:rFonts w:hint="eastAsia" w:ascii="仿宋_GB2312" w:eastAsia="仿宋_GB2312"/>
          <w:sz w:val="32"/>
          <w:szCs w:val="32"/>
        </w:rPr>
        <w:t>（二）集中实施阶段（2022年5月至10月底）。根据行动方案和标准，严格按照月度实施计划，全力推进行动开展。重点做好中高考期间的广场舞噪音管理。</w:t>
      </w:r>
      <w:r>
        <w:rPr>
          <w:rFonts w:hint="eastAsia" w:ascii="仿宋_GB2312" w:eastAsia="仿宋_GB2312"/>
          <w:sz w:val="32"/>
          <w:szCs w:val="32"/>
        </w:rPr>
        <w:cr/>
      </w:r>
      <w:r>
        <w:rPr>
          <w:rFonts w:hint="eastAsia" w:ascii="仿宋_GB2312" w:eastAsia="仿宋_GB2312"/>
          <w:sz w:val="32"/>
          <w:szCs w:val="32"/>
        </w:rPr>
        <w:t xml:space="preserve">   （三）考核验收阶段（2022年11月至12月底）。由县整治办组织各责任单位，对“广场舞”实际效果进行自查验收考核命名，其结果作为年底综合考评的依据。</w:t>
      </w:r>
      <w:r>
        <w:rPr>
          <w:rFonts w:hint="eastAsia" w:ascii="仿宋_GB2312" w:eastAsia="仿宋_GB2312"/>
          <w:sz w:val="32"/>
          <w:szCs w:val="32"/>
        </w:rPr>
        <w:cr/>
      </w:r>
      <w:r>
        <w:rPr>
          <w:rFonts w:hint="eastAsia" w:ascii="仿宋_GB2312" w:eastAsia="仿宋_GB2312"/>
          <w:sz w:val="32"/>
          <w:szCs w:val="32"/>
        </w:rPr>
        <w:t xml:space="preserve">    </w:t>
      </w:r>
      <w:r>
        <w:rPr>
          <w:rFonts w:hint="eastAsia" w:ascii="黑体" w:hAnsi="黑体" w:eastAsia="黑体"/>
          <w:sz w:val="32"/>
          <w:szCs w:val="32"/>
        </w:rPr>
        <w:t>五、职责分工</w:t>
      </w:r>
      <w:r>
        <w:rPr>
          <w:rFonts w:hint="eastAsia" w:ascii="黑体" w:hAnsi="黑体" w:eastAsia="黑体"/>
          <w:sz w:val="32"/>
          <w:szCs w:val="32"/>
        </w:rPr>
        <w:cr/>
      </w:r>
      <w:r>
        <w:rPr>
          <w:rFonts w:hint="eastAsia" w:ascii="黑体" w:hAnsi="黑体" w:eastAsia="黑体"/>
          <w:sz w:val="32"/>
          <w:szCs w:val="32"/>
        </w:rPr>
        <w:t xml:space="preserve">    </w:t>
      </w:r>
      <w:r>
        <w:rPr>
          <w:rFonts w:hint="eastAsia" w:ascii="仿宋_GB2312" w:hAnsi="宋体" w:eastAsia="仿宋_GB2312" w:cs="宋体"/>
          <w:b/>
          <w:bCs/>
          <w:kern w:val="0"/>
          <w:sz w:val="32"/>
          <w:szCs w:val="32"/>
        </w:rPr>
        <w:t>县</w:t>
      </w:r>
      <w:r>
        <w:rPr>
          <w:rFonts w:ascii="仿宋_GB2312" w:hAnsi="宋体" w:eastAsia="仿宋_GB2312" w:cs="宋体"/>
          <w:b/>
          <w:bCs/>
          <w:kern w:val="0"/>
          <w:sz w:val="32"/>
          <w:szCs w:val="32"/>
        </w:rPr>
        <w:t>文</w:t>
      </w:r>
      <w:r>
        <w:rPr>
          <w:rFonts w:hint="eastAsia" w:ascii="仿宋_GB2312" w:hAnsi="宋体" w:eastAsia="仿宋_GB2312" w:cs="宋体"/>
          <w:b/>
          <w:bCs/>
          <w:kern w:val="0"/>
          <w:sz w:val="32"/>
          <w:szCs w:val="32"/>
        </w:rPr>
        <w:t>旅</w:t>
      </w:r>
      <w:r>
        <w:rPr>
          <w:rFonts w:ascii="仿宋_GB2312" w:hAnsi="宋体" w:eastAsia="仿宋_GB2312" w:cs="宋体"/>
          <w:b/>
          <w:bCs/>
          <w:kern w:val="0"/>
          <w:sz w:val="32"/>
          <w:szCs w:val="32"/>
        </w:rPr>
        <w:t>局：</w:t>
      </w:r>
      <w:r>
        <w:rPr>
          <w:rFonts w:ascii="仿宋_GB2312" w:hAnsi="宋体" w:eastAsia="仿宋_GB2312" w:cs="宋体"/>
          <w:kern w:val="0"/>
          <w:sz w:val="32"/>
          <w:szCs w:val="32"/>
        </w:rPr>
        <w:t>负责加强群众文体团队的自律管理和文化志愿者建设，引导文明守约，遵守社会公德，文明开展广场舞活动。协调各相关部门在适当时段免费开放</w:t>
      </w:r>
      <w:r>
        <w:rPr>
          <w:rFonts w:hint="eastAsia" w:ascii="仿宋_GB2312" w:hAnsi="宋体" w:eastAsia="仿宋_GB2312" w:cs="宋体"/>
          <w:kern w:val="0"/>
          <w:sz w:val="32"/>
          <w:szCs w:val="32"/>
        </w:rPr>
        <w:t>社区文化礼堂、老年活动中心、社区活动中心、文化体育馆等室内场所用于广场舞活动。</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县公安局：</w:t>
      </w:r>
      <w:r>
        <w:rPr>
          <w:rFonts w:hint="eastAsia" w:ascii="仿宋_GB2312" w:eastAsia="仿宋_GB2312"/>
          <w:sz w:val="32"/>
          <w:szCs w:val="32"/>
        </w:rPr>
        <w:t>为本次整治行动牵头单位，负责做好整治现场执法保障工作，受理相关投诉、举报。</w:t>
      </w:r>
      <w:r>
        <w:rPr>
          <w:rFonts w:hint="eastAsia" w:ascii="仿宋_GB2312" w:hAnsi="宋体" w:eastAsia="仿宋_GB2312" w:cs="宋体"/>
          <w:kern w:val="0"/>
          <w:sz w:val="32"/>
          <w:szCs w:val="32"/>
        </w:rPr>
        <w:t>负责</w:t>
      </w:r>
      <w:r>
        <w:rPr>
          <w:rFonts w:ascii="仿宋_GB2312" w:hAnsi="宋体" w:eastAsia="仿宋_GB2312" w:cs="宋体"/>
          <w:kern w:val="0"/>
          <w:sz w:val="32"/>
          <w:szCs w:val="32"/>
        </w:rPr>
        <w:t>查处</w:t>
      </w:r>
      <w:r>
        <w:rPr>
          <w:rFonts w:hint="eastAsia" w:ascii="仿宋_GB2312" w:hAnsi="宋体" w:eastAsia="仿宋_GB2312" w:cs="宋体"/>
          <w:kern w:val="0"/>
          <w:sz w:val="32"/>
          <w:szCs w:val="32"/>
        </w:rPr>
        <w:t>高亭</w:t>
      </w:r>
      <w:r>
        <w:rPr>
          <w:rFonts w:ascii="仿宋_GB2312" w:hAnsi="宋体" w:eastAsia="仿宋_GB2312" w:cs="宋体"/>
          <w:kern w:val="0"/>
          <w:sz w:val="32"/>
          <w:szCs w:val="32"/>
        </w:rPr>
        <w:t>公园广场、住宅小区周边广场舞噪声扰民问题</w:t>
      </w:r>
      <w:r>
        <w:rPr>
          <w:rFonts w:hint="eastAsia" w:ascii="仿宋_GB2312" w:hAnsi="宋体" w:eastAsia="仿宋_GB2312" w:cs="宋体"/>
          <w:kern w:val="0"/>
          <w:sz w:val="32"/>
          <w:szCs w:val="32"/>
        </w:rPr>
        <w:t>及</w:t>
      </w:r>
      <w:r>
        <w:rPr>
          <w:rFonts w:ascii="仿宋_GB2312" w:hAnsi="宋体" w:eastAsia="仿宋_GB2312" w:cs="宋体"/>
          <w:kern w:val="0"/>
          <w:sz w:val="32"/>
          <w:szCs w:val="32"/>
        </w:rPr>
        <w:t>占用城市道路、影响交通安全的广场舞行为；协助相关部门开展执法活动，对妨碍公务、暴力抗法者依法进行处理。</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县综合行政执法局：</w:t>
      </w:r>
      <w:r>
        <w:rPr>
          <w:rFonts w:hint="eastAsia" w:ascii="仿宋_GB2312" w:eastAsia="仿宋_GB2312"/>
          <w:sz w:val="32"/>
          <w:szCs w:val="32"/>
        </w:rPr>
        <w:t>为本次整治行动牵头单位，负责制定行动实施方案，负责广场舞活动日常巡查、监督，及时查处</w:t>
      </w:r>
      <w:r>
        <w:rPr>
          <w:rFonts w:ascii="仿宋_GB2312" w:hAnsi="宋体" w:eastAsia="仿宋_GB2312" w:cs="宋体"/>
          <w:kern w:val="0"/>
          <w:sz w:val="32"/>
          <w:szCs w:val="32"/>
        </w:rPr>
        <w:t>广场舞参与人员破坏公共设施、绿化，乱扔、乱倒废弃物等影响市容市貌和环境卫生</w:t>
      </w:r>
      <w:r>
        <w:rPr>
          <w:rFonts w:hint="eastAsia" w:ascii="仿宋_GB2312" w:hAnsi="宋体" w:eastAsia="仿宋_GB2312" w:cs="宋体"/>
          <w:kern w:val="0"/>
          <w:sz w:val="32"/>
          <w:szCs w:val="32"/>
        </w:rPr>
        <w:t>行为</w:t>
      </w:r>
      <w:r>
        <w:rPr>
          <w:rFonts w:ascii="仿宋_GB2312" w:hAnsi="宋体" w:eastAsia="仿宋_GB2312" w:cs="宋体"/>
          <w:kern w:val="0"/>
          <w:sz w:val="32"/>
          <w:szCs w:val="32"/>
        </w:rPr>
        <w:t>。</w:t>
      </w:r>
    </w:p>
    <w:p>
      <w:pPr>
        <w:widowControl/>
        <w:spacing w:line="560" w:lineRule="exact"/>
        <w:ind w:firstLine="643" w:firstLineChars="200"/>
        <w:rPr>
          <w:rFonts w:ascii="仿宋_GB2312" w:hAnsi="宋体" w:eastAsia="仿宋_GB2312" w:cs="宋体"/>
          <w:kern w:val="0"/>
          <w:sz w:val="32"/>
          <w:szCs w:val="32"/>
        </w:rPr>
      </w:pPr>
      <w:r>
        <w:rPr>
          <w:rFonts w:hint="eastAsia" w:ascii="仿宋_GB2312" w:hAnsi="宋体" w:eastAsia="仿宋_GB2312" w:cs="宋体"/>
          <w:b/>
          <w:bCs/>
          <w:kern w:val="0"/>
          <w:sz w:val="32"/>
          <w:szCs w:val="32"/>
        </w:rPr>
        <w:t>市生态环境局岱山分局：</w:t>
      </w:r>
      <w:r>
        <w:rPr>
          <w:rFonts w:hint="eastAsia" w:ascii="仿宋_GB2312" w:eastAsia="仿宋_GB2312"/>
          <w:sz w:val="32"/>
          <w:szCs w:val="32"/>
        </w:rPr>
        <w:t>指导、督促广场舞活动地点、音量等规范设置，落实分贝检测的技术保障。</w:t>
      </w:r>
      <w:r>
        <w:rPr>
          <w:rFonts w:ascii="仿宋_GB2312" w:hAnsi="宋体" w:eastAsia="仿宋_GB2312" w:cs="宋体"/>
          <w:kern w:val="0"/>
          <w:sz w:val="32"/>
          <w:szCs w:val="32"/>
        </w:rPr>
        <w:t>负责解释各类声环境功能区的环境噪声标准；负责广场文化活动噪声污染监测，并依法提供监测数据。</w:t>
      </w:r>
    </w:p>
    <w:p>
      <w:pPr>
        <w:widowControl/>
        <w:spacing w:line="560" w:lineRule="exact"/>
        <w:ind w:firstLine="643" w:firstLineChars="200"/>
        <w:rPr>
          <w:rFonts w:ascii="仿宋_GB2312" w:eastAsia="仿宋_GB2312"/>
          <w:sz w:val="32"/>
          <w:szCs w:val="32"/>
        </w:rPr>
      </w:pPr>
      <w:r>
        <w:rPr>
          <w:rFonts w:hint="eastAsia" w:ascii="仿宋_GB2312" w:hAnsi="宋体" w:eastAsia="仿宋_GB2312" w:cs="宋体"/>
          <w:b/>
          <w:bCs/>
          <w:kern w:val="0"/>
          <w:sz w:val="32"/>
          <w:szCs w:val="32"/>
        </w:rPr>
        <w:t>高亭镇：</w:t>
      </w:r>
      <w:r>
        <w:rPr>
          <w:rFonts w:hint="eastAsia" w:ascii="仿宋_GB2312" w:eastAsia="仿宋_GB2312"/>
          <w:sz w:val="32"/>
          <w:szCs w:val="32"/>
        </w:rPr>
        <w:t>落实属地部门职责，组织志愿者及社区加强对广场舞团的宣传教育，引导广场舞团到指定区域规范开展活动，积极统筹规划辖区内广场舞活动区域，完善硬件建设，建立长效管理机制。</w:t>
      </w:r>
      <w:r>
        <w:rPr>
          <w:rFonts w:hint="eastAsia" w:ascii="仿宋_GB2312" w:eastAsia="仿宋_GB2312"/>
          <w:sz w:val="32"/>
          <w:szCs w:val="32"/>
        </w:rPr>
        <w:cr/>
      </w:r>
      <w:r>
        <w:rPr>
          <w:rFonts w:hint="eastAsia" w:ascii="仿宋_GB2312" w:eastAsia="仿宋_GB2312"/>
          <w:sz w:val="32"/>
          <w:szCs w:val="32"/>
        </w:rPr>
        <w:t xml:space="preserve">    </w:t>
      </w:r>
      <w:r>
        <w:rPr>
          <w:rFonts w:hint="eastAsia" w:ascii="黑体" w:hAnsi="黑体" w:eastAsia="黑体"/>
          <w:sz w:val="32"/>
          <w:szCs w:val="32"/>
        </w:rPr>
        <w:t>六、工作要求</w:t>
      </w:r>
      <w:r>
        <w:rPr>
          <w:rFonts w:hint="eastAsia" w:ascii="黑体" w:hAnsi="黑体" w:eastAsia="黑体"/>
          <w:sz w:val="32"/>
          <w:szCs w:val="32"/>
        </w:rPr>
        <w:cr/>
      </w:r>
      <w:r>
        <w:rPr>
          <w:rFonts w:hint="eastAsia" w:ascii="仿宋_GB2312" w:eastAsia="仿宋_GB2312"/>
          <w:sz w:val="32"/>
          <w:szCs w:val="32"/>
        </w:rPr>
        <w:t xml:space="preserve">   </w:t>
      </w:r>
      <w:r>
        <w:rPr>
          <w:rFonts w:hint="eastAsia" w:ascii="楷体_GB2312" w:eastAsia="楷体_GB2312"/>
          <w:sz w:val="32"/>
          <w:szCs w:val="32"/>
        </w:rPr>
        <w:t>（一）提高思想认识，做好组织部署。</w:t>
      </w:r>
      <w:r>
        <w:rPr>
          <w:rFonts w:hint="eastAsia" w:ascii="仿宋_GB2312" w:eastAsia="仿宋_GB2312"/>
          <w:sz w:val="32"/>
          <w:szCs w:val="32"/>
        </w:rPr>
        <w:t>“广场舞”规范整治行动是为了有效</w:t>
      </w:r>
      <w:r>
        <w:rPr>
          <w:rFonts w:hint="eastAsia" w:ascii="仿宋_GB2312" w:hAnsi="宋体" w:eastAsia="仿宋_GB2312" w:cs="宋体"/>
          <w:kern w:val="0"/>
          <w:sz w:val="32"/>
          <w:szCs w:val="32"/>
        </w:rPr>
        <w:t>消除广场舞引发的噪音扰民、破坏公共场所环境、影响交通秩序、造成治安隐患等问题，各责任单位要</w:t>
      </w:r>
      <w:r>
        <w:rPr>
          <w:rFonts w:hint="eastAsia" w:ascii="仿宋_GB2312" w:eastAsia="仿宋_GB2312"/>
          <w:sz w:val="32"/>
          <w:szCs w:val="32"/>
        </w:rPr>
        <w:t>强化组织领导和工作部署，确保各项整治任务落实到位。</w:t>
      </w:r>
      <w:r>
        <w:rPr>
          <w:rFonts w:hint="eastAsia" w:ascii="仿宋_GB2312" w:eastAsia="仿宋_GB2312"/>
          <w:sz w:val="32"/>
          <w:szCs w:val="32"/>
        </w:rPr>
        <w:cr/>
      </w:r>
      <w:r>
        <w:rPr>
          <w:rFonts w:hint="eastAsia" w:ascii="仿宋_GB2312" w:eastAsia="仿宋_GB2312"/>
          <w:sz w:val="32"/>
          <w:szCs w:val="32"/>
        </w:rPr>
        <w:t xml:space="preserve">   </w:t>
      </w:r>
      <w:r>
        <w:rPr>
          <w:rFonts w:hint="eastAsia" w:ascii="楷体_GB2312" w:eastAsia="楷体_GB2312"/>
          <w:sz w:val="32"/>
          <w:szCs w:val="32"/>
        </w:rPr>
        <w:t>（二）强化部门协调，形成监管合力。</w:t>
      </w:r>
      <w:r>
        <w:rPr>
          <w:rFonts w:hint="eastAsia" w:ascii="仿宋_GB2312" w:eastAsia="仿宋_GB2312"/>
          <w:sz w:val="32"/>
          <w:szCs w:val="32"/>
        </w:rPr>
        <w:t>各责任单位要切实履责，强化部门沟通协作，形成良好的信息互通、线索移转和执法联动工作机制，增强监管工作合力，通过部门协同促进“广场舞”规范发展。</w:t>
      </w:r>
      <w:r>
        <w:rPr>
          <w:rFonts w:hint="eastAsia" w:ascii="仿宋_GB2312" w:eastAsia="仿宋_GB2312"/>
          <w:sz w:val="32"/>
          <w:szCs w:val="32"/>
        </w:rPr>
        <w:cr/>
      </w:r>
      <w:r>
        <w:rPr>
          <w:rFonts w:hint="eastAsia" w:ascii="仿宋_GB2312" w:eastAsia="仿宋_GB2312"/>
          <w:sz w:val="32"/>
          <w:szCs w:val="32"/>
        </w:rPr>
        <w:t xml:space="preserve">   </w:t>
      </w:r>
      <w:r>
        <w:rPr>
          <w:rFonts w:hint="eastAsia" w:ascii="楷体_GB2312" w:eastAsia="楷体_GB2312"/>
          <w:sz w:val="32"/>
          <w:szCs w:val="32"/>
        </w:rPr>
        <w:t>（三）深化正面宣传，抓好舆情引导。</w:t>
      </w:r>
      <w:r>
        <w:rPr>
          <w:rFonts w:hint="eastAsia" w:ascii="仿宋_GB2312" w:eastAsia="仿宋_GB2312"/>
          <w:sz w:val="32"/>
          <w:szCs w:val="32"/>
        </w:rPr>
        <w:t>要加强教育，引导市民群众遵守法律法规，合理开展活动。整治期间，要正面开展宣传工作，形成良好的整治氛围，同时，要加强对网络舆情的导控，把握对可能发生的群体性事件和其他突发事件进行处置。</w:t>
      </w:r>
    </w:p>
    <w:p>
      <w:pPr>
        <w:widowControl/>
        <w:spacing w:line="560" w:lineRule="exact"/>
        <w:ind w:firstLine="640" w:firstLineChars="200"/>
        <w:rPr>
          <w:rFonts w:hint="eastAsia" w:ascii="仿宋_GB2312" w:eastAsia="仿宋_GB2312"/>
          <w:sz w:val="32"/>
          <w:szCs w:val="32"/>
        </w:rPr>
      </w:pP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附件9-1 岱山高亭城区广场舞登记表</w:t>
      </w:r>
    </w:p>
    <w:p>
      <w:pPr>
        <w:widowControl/>
        <w:spacing w:line="560" w:lineRule="exact"/>
        <w:ind w:firstLine="640" w:firstLineChars="200"/>
        <w:rPr>
          <w:rFonts w:ascii="仿宋_GB2312" w:eastAsia="仿宋_GB2312"/>
          <w:sz w:val="32"/>
          <w:szCs w:val="32"/>
        </w:rPr>
        <w:sectPr>
          <w:pgSz w:w="11906" w:h="16838"/>
          <w:pgMar w:top="1440" w:right="1800" w:bottom="1440" w:left="1800" w:header="851" w:footer="992" w:gutter="0"/>
          <w:cols w:space="425" w:num="1"/>
          <w:docGrid w:type="lines" w:linePitch="312" w:charSpace="0"/>
        </w:sectPr>
      </w:pP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附件9-1</w:t>
      </w:r>
    </w:p>
    <w:p>
      <w:pPr>
        <w:widowControl/>
        <w:spacing w:line="560" w:lineRule="exact"/>
        <w:ind w:firstLine="4680" w:firstLineChars="1300"/>
        <w:rPr>
          <w:rFonts w:ascii="仿宋_GB2312" w:eastAsia="仿宋_GB2312"/>
          <w:sz w:val="36"/>
          <w:szCs w:val="36"/>
        </w:rPr>
      </w:pPr>
      <w:r>
        <w:rPr>
          <w:rFonts w:hint="eastAsia" w:ascii="仿宋_GB2312" w:eastAsia="仿宋_GB2312"/>
          <w:sz w:val="36"/>
          <w:szCs w:val="36"/>
        </w:rPr>
        <w:t>岱山高亭城区广场舞登记表</w:t>
      </w:r>
    </w:p>
    <w:tbl>
      <w:tblPr>
        <w:tblStyle w:val="11"/>
        <w:tblW w:w="5000" w:type="pct"/>
        <w:tblInd w:w="0" w:type="dxa"/>
        <w:tblLayout w:type="autofit"/>
        <w:tblCellMar>
          <w:top w:w="0" w:type="dxa"/>
          <w:left w:w="108" w:type="dxa"/>
          <w:bottom w:w="0" w:type="dxa"/>
          <w:right w:w="108" w:type="dxa"/>
        </w:tblCellMar>
      </w:tblPr>
      <w:tblGrid>
        <w:gridCol w:w="705"/>
        <w:gridCol w:w="2380"/>
        <w:gridCol w:w="2856"/>
        <w:gridCol w:w="1317"/>
        <w:gridCol w:w="1165"/>
        <w:gridCol w:w="1624"/>
        <w:gridCol w:w="1776"/>
        <w:gridCol w:w="936"/>
        <w:gridCol w:w="706"/>
        <w:gridCol w:w="709"/>
      </w:tblGrid>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编号</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团队名称</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场所</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项目</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负责人</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联系电话</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起讫时间</w:t>
            </w:r>
          </w:p>
        </w:tc>
        <w:tc>
          <w:tcPr>
            <w:tcW w:w="33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人数</w:t>
            </w:r>
          </w:p>
        </w:tc>
        <w:tc>
          <w:tcPr>
            <w:tcW w:w="2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声音</w:t>
            </w:r>
          </w:p>
          <w:p>
            <w:pPr>
              <w:widowControl/>
              <w:jc w:val="center"/>
              <w:rPr>
                <w:rFonts w:ascii="宋体" w:hAnsi="宋体" w:cs="宋体"/>
                <w:b/>
                <w:bCs/>
                <w:color w:val="000000"/>
                <w:kern w:val="0"/>
                <w:sz w:val="24"/>
              </w:rPr>
            </w:pPr>
            <w:r>
              <w:rPr>
                <w:rFonts w:hint="eastAsia" w:ascii="宋体" w:hAnsi="宋体" w:cs="宋体"/>
                <w:b/>
                <w:bCs/>
                <w:color w:val="000000"/>
                <w:kern w:val="0"/>
                <w:sz w:val="24"/>
              </w:rPr>
              <w:t>大小</w:t>
            </w:r>
          </w:p>
        </w:tc>
        <w:tc>
          <w:tcPr>
            <w:tcW w:w="25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ascii="宋体" w:hAnsi="宋体" w:cs="宋体"/>
                <w:b/>
                <w:bCs/>
                <w:color w:val="000000"/>
                <w:kern w:val="0"/>
                <w:sz w:val="24"/>
              </w:rPr>
              <w:t>备注</w:t>
            </w:r>
          </w:p>
        </w:tc>
      </w:tr>
      <w:tr>
        <w:tblPrEx>
          <w:tblCellMar>
            <w:top w:w="0" w:type="dxa"/>
            <w:left w:w="108" w:type="dxa"/>
            <w:bottom w:w="0" w:type="dxa"/>
            <w:right w:w="108" w:type="dxa"/>
          </w:tblCellMar>
        </w:tblPrEx>
        <w:trPr>
          <w:trHeight w:val="482" w:hRule="atLeast"/>
        </w:trPr>
        <w:tc>
          <w:tcPr>
            <w:tcW w:w="249"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环北路小广场</w:t>
            </w:r>
          </w:p>
        </w:tc>
        <w:tc>
          <w:tcPr>
            <w:tcW w:w="465"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范四海</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13967227926</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18：00-19：00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40</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82" w:hRule="atLeast"/>
        </w:trPr>
        <w:tc>
          <w:tcPr>
            <w:tcW w:w="249"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07" w:type="pc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环北路小广场</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陈树存</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13758019554</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19：00-20：00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大 </w:t>
            </w:r>
          </w:p>
        </w:tc>
        <w:tc>
          <w:tcPr>
            <w:tcW w:w="25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82" w:hRule="atLeast"/>
        </w:trPr>
        <w:tc>
          <w:tcPr>
            <w:tcW w:w="249"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文化广场小舞池</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交际舞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ascii="宋体" w:hAnsi="宋体" w:cs="宋体"/>
                <w:color w:val="000000"/>
                <w:kern w:val="0"/>
                <w:sz w:val="24"/>
              </w:rPr>
              <w:t>刘和同</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ascii="宋体" w:hAnsi="宋体" w:cs="宋体"/>
                <w:color w:val="000000"/>
                <w:kern w:val="0"/>
                <w:sz w:val="24"/>
              </w:rPr>
              <w:t>13905802933</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6：00-9：00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ascii="宋体" w:hAnsi="宋体" w:cs="宋体"/>
                <w:color w:val="000000"/>
                <w:kern w:val="0"/>
                <w:sz w:val="24"/>
              </w:rPr>
              <w:t>大</w:t>
            </w:r>
          </w:p>
        </w:tc>
        <w:tc>
          <w:tcPr>
            <w:tcW w:w="25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82" w:hRule="atLeast"/>
        </w:trPr>
        <w:tc>
          <w:tcPr>
            <w:tcW w:w="249"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广场交谊舞队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文化广场小舞池</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交际舞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王安成</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13136267733</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18：30-21：00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85-220</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大</w:t>
            </w:r>
          </w:p>
        </w:tc>
        <w:tc>
          <w:tcPr>
            <w:tcW w:w="25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82" w:hRule="atLeast"/>
        </w:trPr>
        <w:tc>
          <w:tcPr>
            <w:tcW w:w="249"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海韵红广场舞团队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文化广场南侧</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孔要红</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13362425007</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18：20-20：30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65-80</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轻</w:t>
            </w:r>
          </w:p>
        </w:tc>
        <w:tc>
          <w:tcPr>
            <w:tcW w:w="25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82" w:hRule="atLeast"/>
        </w:trPr>
        <w:tc>
          <w:tcPr>
            <w:tcW w:w="249"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6</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松松夜广场舞队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文化广场西侧</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鬼步舞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陈桂平</w:t>
            </w:r>
          </w:p>
          <w:p>
            <w:pPr>
              <w:widowControl/>
              <w:jc w:val="center"/>
              <w:rPr>
                <w:rFonts w:ascii="宋体" w:hAnsi="宋体" w:cs="宋体"/>
                <w:kern w:val="0"/>
                <w:sz w:val="24"/>
              </w:rPr>
            </w:pPr>
            <w:r>
              <w:rPr>
                <w:rFonts w:hint="eastAsia" w:ascii="宋体" w:hAnsi="宋体" w:cs="宋体"/>
                <w:kern w:val="0"/>
                <w:sz w:val="24"/>
              </w:rPr>
              <w:t>余艳丽</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15372757199</w:t>
            </w:r>
          </w:p>
          <w:p>
            <w:pPr>
              <w:widowControl/>
              <w:jc w:val="center"/>
              <w:rPr>
                <w:rFonts w:ascii="宋体" w:hAnsi="宋体" w:cs="宋体"/>
                <w:kern w:val="0"/>
                <w:sz w:val="24"/>
              </w:rPr>
            </w:pPr>
            <w:r>
              <w:rPr>
                <w:rFonts w:hint="eastAsia" w:ascii="宋体" w:hAnsi="宋体" w:cs="宋体"/>
                <w:kern w:val="0"/>
                <w:sz w:val="24"/>
              </w:rPr>
              <w:t>13454072821</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18：20-20：30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7</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健康快乐广场舞队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文化广场西侧</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赵秒红</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612511</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18：30-20：00</w:t>
            </w:r>
          </w:p>
        </w:tc>
        <w:tc>
          <w:tcPr>
            <w:tcW w:w="33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85-100</w:t>
            </w:r>
          </w:p>
        </w:tc>
        <w:tc>
          <w:tcPr>
            <w:tcW w:w="2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中等</w:t>
            </w:r>
          </w:p>
        </w:tc>
        <w:tc>
          <w:tcPr>
            <w:tcW w:w="25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种文化辅导员队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文化广场（花坛旁）</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王崇英</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696345</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19：00-20：10</w:t>
            </w:r>
          </w:p>
        </w:tc>
        <w:tc>
          <w:tcPr>
            <w:tcW w:w="33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30-40</w:t>
            </w:r>
          </w:p>
        </w:tc>
        <w:tc>
          <w:tcPr>
            <w:tcW w:w="2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中等</w:t>
            </w:r>
          </w:p>
        </w:tc>
        <w:tc>
          <w:tcPr>
            <w:tcW w:w="25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9</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青春夜舞队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文化广场西侧</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庄戴军</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13666704280</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18：20-20：00</w:t>
            </w:r>
          </w:p>
        </w:tc>
        <w:tc>
          <w:tcPr>
            <w:tcW w:w="33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2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10</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蓬莱佳木斯队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高亭小学门口</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毛夏楠</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13615803709</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18：15-19：15</w:t>
            </w:r>
          </w:p>
        </w:tc>
        <w:tc>
          <w:tcPr>
            <w:tcW w:w="33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2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轻</w:t>
            </w:r>
          </w:p>
        </w:tc>
        <w:tc>
          <w:tcPr>
            <w:tcW w:w="25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11</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矫健开心排舞队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电信门口</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孔菊萍</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15336821272</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18：30-20：30</w:t>
            </w:r>
          </w:p>
        </w:tc>
        <w:tc>
          <w:tcPr>
            <w:tcW w:w="33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25-30</w:t>
            </w:r>
          </w:p>
        </w:tc>
        <w:tc>
          <w:tcPr>
            <w:tcW w:w="2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12</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风情街东面</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范海芬</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13868202298</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18：45-20：00</w:t>
            </w:r>
          </w:p>
        </w:tc>
        <w:tc>
          <w:tcPr>
            <w:tcW w:w="33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2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中心菜场2号门</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金俊女</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13735021626</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18：30-20：00</w:t>
            </w:r>
          </w:p>
        </w:tc>
        <w:tc>
          <w:tcPr>
            <w:tcW w:w="33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2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编号</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团队名称</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场所</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项目</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负责人</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联系电话</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起讫时间</w:t>
            </w:r>
          </w:p>
        </w:tc>
        <w:tc>
          <w:tcPr>
            <w:tcW w:w="33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人数</w:t>
            </w:r>
          </w:p>
        </w:tc>
        <w:tc>
          <w:tcPr>
            <w:tcW w:w="2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声音</w:t>
            </w:r>
          </w:p>
          <w:p>
            <w:pPr>
              <w:widowControl/>
              <w:jc w:val="center"/>
              <w:rPr>
                <w:rFonts w:ascii="宋体" w:hAnsi="宋体" w:cs="宋体"/>
                <w:b/>
                <w:bCs/>
                <w:color w:val="000000"/>
                <w:kern w:val="0"/>
                <w:sz w:val="24"/>
              </w:rPr>
            </w:pPr>
            <w:r>
              <w:rPr>
                <w:rFonts w:hint="eastAsia" w:ascii="宋体" w:hAnsi="宋体" w:cs="宋体"/>
                <w:b/>
                <w:bCs/>
                <w:color w:val="000000"/>
                <w:kern w:val="0"/>
                <w:sz w:val="24"/>
              </w:rPr>
              <w:t>大小</w:t>
            </w:r>
          </w:p>
        </w:tc>
        <w:tc>
          <w:tcPr>
            <w:tcW w:w="25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是否保留</w:t>
            </w: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14</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行政中心广场</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陈绒球</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13967231179</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18：30-20：00</w:t>
            </w:r>
          </w:p>
        </w:tc>
        <w:tc>
          <w:tcPr>
            <w:tcW w:w="33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2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15</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竹韵排舞队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观海平台对面（星河路）</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ascii="宋体" w:hAnsi="宋体" w:cs="宋体"/>
                <w:color w:val="000000"/>
                <w:kern w:val="0"/>
                <w:sz w:val="24"/>
              </w:rPr>
              <w:t>郭定燕</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13758028209</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19：00-20：00</w:t>
            </w:r>
          </w:p>
        </w:tc>
        <w:tc>
          <w:tcPr>
            <w:tcW w:w="33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35</w:t>
            </w:r>
          </w:p>
        </w:tc>
        <w:tc>
          <w:tcPr>
            <w:tcW w:w="2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single" w:color="auto" w:sz="4" w:space="0"/>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16</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淑芬广场舞队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体育馆北面</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李淑芬</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13867220304</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18：30-20：00</w:t>
            </w:r>
          </w:p>
        </w:tc>
        <w:tc>
          <w:tcPr>
            <w:tcW w:w="330"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80</w:t>
            </w:r>
          </w:p>
        </w:tc>
        <w:tc>
          <w:tcPr>
            <w:tcW w:w="24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17</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体育馆交谊舞队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体育馆正西侧</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夏信根</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13082871539</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18：30-20：00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老年快乐跳舞队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体育馆西侧</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刘明祥</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13583048650</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18：30-20：00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19</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舞之韵广场舞队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体育馆西南侧</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杨旭华</w:t>
            </w:r>
          </w:p>
          <w:p>
            <w:pPr>
              <w:widowControl/>
              <w:jc w:val="center"/>
              <w:rPr>
                <w:rFonts w:ascii="宋体" w:hAnsi="宋体" w:cs="宋体"/>
                <w:color w:val="000000"/>
                <w:kern w:val="0"/>
                <w:sz w:val="24"/>
              </w:rPr>
            </w:pPr>
            <w:r>
              <w:rPr>
                <w:rFonts w:hint="eastAsia" w:ascii="宋体" w:hAnsi="宋体" w:cs="宋体"/>
                <w:color w:val="000000"/>
                <w:kern w:val="0"/>
                <w:sz w:val="24"/>
              </w:rPr>
              <w:t>於继承</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13454096581</w:t>
            </w:r>
          </w:p>
          <w:p>
            <w:pPr>
              <w:widowControl/>
              <w:jc w:val="center"/>
              <w:rPr>
                <w:rFonts w:ascii="宋体" w:hAnsi="宋体" w:cs="宋体"/>
                <w:color w:val="000000"/>
                <w:kern w:val="0"/>
                <w:sz w:val="24"/>
              </w:rPr>
            </w:pPr>
            <w:r>
              <w:rPr>
                <w:rFonts w:hint="eastAsia" w:ascii="宋体" w:hAnsi="宋体" w:cs="宋体"/>
                <w:color w:val="000000"/>
                <w:kern w:val="0"/>
                <w:sz w:val="24"/>
              </w:rPr>
              <w:t>13884309722</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18：40-20：00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40-60</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大 </w:t>
            </w:r>
          </w:p>
        </w:tc>
        <w:tc>
          <w:tcPr>
            <w:tcW w:w="25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秋韵舞队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老夜排挡东面</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邹秋儿</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15957086624</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19：00-20：00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30</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 xml:space="preserve">大 </w:t>
            </w:r>
          </w:p>
        </w:tc>
        <w:tc>
          <w:tcPr>
            <w:tcW w:w="25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21</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美丽舞队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老夜排挡西面</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孙晓敏</w:t>
            </w:r>
          </w:p>
          <w:p>
            <w:pPr>
              <w:widowControl/>
              <w:jc w:val="center"/>
              <w:rPr>
                <w:rFonts w:ascii="宋体" w:hAnsi="宋体" w:cs="宋体"/>
                <w:kern w:val="0"/>
                <w:sz w:val="24"/>
              </w:rPr>
            </w:pPr>
            <w:r>
              <w:rPr>
                <w:rFonts w:hint="eastAsia" w:ascii="宋体" w:hAnsi="宋体" w:cs="宋体"/>
                <w:kern w:val="0"/>
                <w:sz w:val="24"/>
              </w:rPr>
              <w:t>郑满珠</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13867235337</w:t>
            </w:r>
          </w:p>
          <w:p>
            <w:pPr>
              <w:widowControl/>
              <w:jc w:val="center"/>
              <w:rPr>
                <w:rFonts w:ascii="宋体" w:hAnsi="宋体" w:cs="宋体"/>
                <w:kern w:val="0"/>
                <w:sz w:val="24"/>
              </w:rPr>
            </w:pPr>
            <w:r>
              <w:rPr>
                <w:rFonts w:hint="eastAsia" w:ascii="宋体" w:hAnsi="宋体" w:cs="宋体"/>
                <w:kern w:val="0"/>
                <w:sz w:val="24"/>
              </w:rPr>
              <w:t>13758028209</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18：30-20：00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15</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大</w:t>
            </w:r>
          </w:p>
        </w:tc>
        <w:tc>
          <w:tcPr>
            <w:tcW w:w="25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22</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太阳城健身队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新区先锋联盟</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孙建维</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13454052262</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18：40-20：00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20</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23</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仙洲舞队</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山外码头</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广场舞</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厉弘儿</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13567657757</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18：30-20：00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20</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中等</w:t>
            </w:r>
          </w:p>
        </w:tc>
        <w:tc>
          <w:tcPr>
            <w:tcW w:w="25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24</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新区观海平台中</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唱歌</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刘民强</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13587048650</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18：30-20：00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50</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82" w:hRule="atLeast"/>
        </w:trPr>
        <w:tc>
          <w:tcPr>
            <w:tcW w:w="249"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25</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ascii="宋体" w:hAnsi="宋体" w:cs="宋体"/>
                <w:color w:val="000000"/>
                <w:kern w:val="0"/>
                <w:sz w:val="24"/>
              </w:rPr>
              <w:t>仙洲公园</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唱歌</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18：20-21：00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82" w:hRule="atLeast"/>
        </w:trPr>
        <w:tc>
          <w:tcPr>
            <w:tcW w:w="249"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26</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新区观海平台左侧</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唱歌</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赵胜杰</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697256</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18：30-21：00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482" w:hRule="atLeast"/>
        </w:trPr>
        <w:tc>
          <w:tcPr>
            <w:tcW w:w="249"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27</w:t>
            </w:r>
          </w:p>
        </w:tc>
        <w:tc>
          <w:tcPr>
            <w:tcW w:w="84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rPr>
            </w:pPr>
            <w:r>
              <w:rPr>
                <w:rFonts w:hint="eastAsia" w:ascii="宋体" w:hAnsi="宋体" w:cs="宋体"/>
                <w:color w:val="000000"/>
                <w:kern w:val="0"/>
                <w:sz w:val="24"/>
              </w:rPr>
              <w:t>/</w:t>
            </w:r>
          </w:p>
        </w:tc>
        <w:tc>
          <w:tcPr>
            <w:tcW w:w="1007"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新区观海平台右侧</w:t>
            </w:r>
          </w:p>
        </w:tc>
        <w:tc>
          <w:tcPr>
            <w:tcW w:w="46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唱歌</w:t>
            </w:r>
          </w:p>
        </w:tc>
        <w:tc>
          <w:tcPr>
            <w:tcW w:w="41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戴军杰</w:t>
            </w:r>
          </w:p>
        </w:tc>
        <w:tc>
          <w:tcPr>
            <w:tcW w:w="57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13857221619</w:t>
            </w:r>
          </w:p>
        </w:tc>
        <w:tc>
          <w:tcPr>
            <w:tcW w:w="62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19：00-21：00</w:t>
            </w:r>
          </w:p>
        </w:tc>
        <w:tc>
          <w:tcPr>
            <w:tcW w:w="330"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24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4"/>
              </w:rPr>
            </w:pPr>
            <w:r>
              <w:rPr>
                <w:rFonts w:hint="eastAsia" w:ascii="宋体" w:hAnsi="宋体" w:cs="宋体"/>
                <w:color w:val="000000"/>
                <w:kern w:val="0"/>
                <w:sz w:val="24"/>
              </w:rPr>
              <w:t>中等</w:t>
            </w:r>
          </w:p>
        </w:tc>
        <w:tc>
          <w:tcPr>
            <w:tcW w:w="250" w:type="pct"/>
            <w:tcBorders>
              <w:top w:val="nil"/>
              <w:left w:val="nil"/>
              <w:bottom w:val="single" w:color="auto" w:sz="4" w:space="0"/>
              <w:right w:val="single" w:color="auto" w:sz="4" w:space="0"/>
            </w:tcBorders>
            <w:vAlign w:val="center"/>
          </w:tcPr>
          <w:p>
            <w:pPr>
              <w:jc w:val="center"/>
            </w:pPr>
          </w:p>
        </w:tc>
      </w:tr>
    </w:tbl>
    <w:p>
      <w:pPr>
        <w:widowControl/>
        <w:spacing w:line="560" w:lineRule="exact"/>
        <w:rPr>
          <w:rFonts w:ascii="仿宋_GB2312" w:eastAsia="仿宋_GB2312"/>
          <w:sz w:val="32"/>
          <w:szCs w:val="32"/>
        </w:rPr>
        <w:sectPr>
          <w:pgSz w:w="16838" w:h="11906" w:orient="landscape"/>
          <w:pgMar w:top="1797" w:right="1440" w:bottom="1797" w:left="1440" w:header="851" w:footer="992" w:gutter="0"/>
          <w:cols w:space="425" w:num="1"/>
          <w:docGrid w:type="lines" w:linePitch="312" w:charSpace="0"/>
        </w:sectPr>
      </w:pPr>
    </w:p>
    <w:p>
      <w:pPr>
        <w:autoSpaceDE w:val="0"/>
        <w:autoSpaceDN w:val="0"/>
        <w:adjustRightInd w:val="0"/>
        <w:jc w:val="left"/>
        <w:rPr>
          <w:rFonts w:ascii="仿宋_GB2312" w:eastAsia="仿宋_GB2312" w:cs="仿宋_GB2312"/>
          <w:kern w:val="0"/>
          <w:sz w:val="32"/>
          <w:szCs w:val="32"/>
        </w:rPr>
      </w:pPr>
    </w:p>
    <w:p>
      <w:pPr>
        <w:autoSpaceDE w:val="0"/>
        <w:autoSpaceDN w:val="0"/>
        <w:adjustRightInd w:val="0"/>
        <w:spacing w:line="600" w:lineRule="exact"/>
        <w:rPr>
          <w:rFonts w:hint="eastAsia" w:ascii="仿宋_GB2312" w:eastAsia="仿宋_GB2312"/>
          <w:sz w:val="28"/>
        </w:rPr>
      </w:pPr>
      <w:r>
        <w:rPr>
          <w:rFonts w:hint="eastAsia" w:ascii="方正小标宋简体" w:hAnsi="·½ÕýÐ¡±êËÎ¼òÌå" w:eastAsia="方正小标宋简体" w:cs="方正小标宋简体"/>
          <w:kern w:val="0"/>
          <w:sz w:val="44"/>
          <w:szCs w:val="44"/>
        </w:rPr>
        <w:t xml:space="preserve"> </w:t>
      </w:r>
      <w:bookmarkStart w:id="1" w:name="BodyEnd"/>
      <w:bookmarkEnd w:id="1"/>
    </w:p>
    <w:p/>
    <w:sectPr>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Calibri Light">
    <w:panose1 w:val="020F0302020204030204"/>
    <w:charset w:val="00"/>
    <w:family w:val="roman"/>
    <w:pitch w:val="default"/>
    <w:sig w:usb0="E4002EFF" w:usb1="C000247B" w:usb2="00000009" w:usb3="00000000" w:csb0="200001FF" w:csb1="00000000"/>
  </w:font>
  <w:font w:name="·½ÕýÐ¡±êËÎ¼òÌå">
    <w:altName w:val="Arial"/>
    <w:panose1 w:val="00000000000000000000"/>
    <w:charset w:val="00"/>
    <w:family w:val="swiss"/>
    <w:pitch w:val="default"/>
    <w:sig w:usb0="00000000" w:usb1="00000000" w:usb2="00000000" w:usb3="00000000" w:csb0="00000001" w:csb1="00000000"/>
  </w:font>
  <w:font w:name="·ÂËÎ_GB2312">
    <w:altName w:val="Arial"/>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AdobeHeitiStd-Regular">
    <w:altName w:val="方正舒体"/>
    <w:panose1 w:val="00000000000000000000"/>
    <w:charset w:val="86"/>
    <w:family w:val="auto"/>
    <w:pitch w:val="default"/>
    <w:sig w:usb0="00000000" w:usb1="00000000" w:usb2="00000010" w:usb3="00000000" w:csb0="00040000" w:csb1="00000000"/>
  </w:font>
  <w:font w:name="TimesNewRoman">
    <w:altName w:val="方正舒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黑体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14</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56</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8820"/>
        <w:tab w:val="clear" w:pos="8306"/>
      </w:tabs>
      <w:ind w:left="210" w:leftChars="100" w:right="210" w:rightChars="100"/>
      <w:jc w:val="right"/>
      <w:rPr>
        <w:rFonts w:hint="eastAsia" w:ascii="宋体" w:hAnsi="宋体"/>
        <w:szCs w:val="28"/>
        <w:lang w:eastAsia="zh-CN"/>
      </w:rPr>
    </w:pPr>
    <w:r>
      <w:rPr>
        <w:rStyle w:val="14"/>
        <w:rFonts w:hint="eastAsia" w:ascii="宋体" w:hAnsi="宋体"/>
        <w:szCs w:val="28"/>
        <w:lang w:eastAsia="zh-CN"/>
      </w:rPr>
      <w:t>73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sz w:val="18"/>
      </w:rPr>
    </w:pPr>
    <w:r>
      <w:rPr>
        <w:sz w:val="18"/>
      </w:rPr>
      <w:fldChar w:fldCharType="begin"/>
    </w:r>
    <w:r>
      <w:rPr>
        <w:rStyle w:val="14"/>
        <w:rFonts w:ascii="宋体" w:hAnsi="宋体"/>
        <w:sz w:val="18"/>
        <w:szCs w:val="28"/>
      </w:rPr>
      <w:instrText xml:space="preserve"> PAGE </w:instrText>
    </w:r>
    <w:r>
      <w:rPr>
        <w:sz w:val="18"/>
      </w:rPr>
      <w:fldChar w:fldCharType="separate"/>
    </w:r>
    <w:r>
      <w:rPr>
        <w:rStyle w:val="14"/>
        <w:rFonts w:ascii="宋体" w:hAnsi="宋体"/>
        <w:sz w:val="18"/>
        <w:szCs w:val="28"/>
      </w:rPr>
      <w:t>58</w:t>
    </w:r>
    <w:r>
      <w:rPr>
        <w:sz w:val="1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kZTFlZDY5YjIyN2JhODMxMjFlZjhkM2Q5YmI3ZWEifQ=="/>
  </w:docVars>
  <w:rsids>
    <w:rsidRoot w:val="006207E6"/>
    <w:rsid w:val="006207E6"/>
    <w:rsid w:val="00DC47D1"/>
    <w:rsid w:val="0BCA26D2"/>
    <w:rsid w:val="2CD446ED"/>
    <w:rsid w:val="56F33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ascii="宋体" w:hAnsi="宋体" w:cs="宋体"/>
      <w:sz w:val="24"/>
      <w:szCs w:val="24"/>
    </w:rPr>
  </w:style>
  <w:style w:type="paragraph" w:styleId="3">
    <w:name w:val="Body Text"/>
    <w:basedOn w:val="1"/>
    <w:link w:val="23"/>
    <w:qFormat/>
    <w:uiPriority w:val="0"/>
    <w:rPr>
      <w:rFonts w:ascii="Calibri" w:hAnsi="Calibri" w:cs="Calibri"/>
      <w:szCs w:val="24"/>
    </w:rPr>
  </w:style>
  <w:style w:type="paragraph" w:styleId="4">
    <w:name w:val="Date"/>
    <w:basedOn w:val="1"/>
    <w:next w:val="1"/>
    <w:link w:val="18"/>
    <w:qFormat/>
    <w:uiPriority w:val="0"/>
    <w:rPr>
      <w:rFonts w:ascii="仿宋_GB2312" w:eastAsia="仿宋_GB2312"/>
      <w:sz w:val="32"/>
    </w:rPr>
  </w:style>
  <w:style w:type="paragraph" w:styleId="5">
    <w:name w:val="Balloon Text"/>
    <w:basedOn w:val="1"/>
    <w:link w:val="19"/>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16"/>
    <w:qFormat/>
    <w:uiPriority w:val="0"/>
    <w:pPr>
      <w:jc w:val="center"/>
    </w:pPr>
    <w:rPr>
      <w:rFonts w:ascii="方正小标宋简体" w:eastAsia="方正小标宋简体" w:hAnsiTheme="minorHAnsi" w:cstheme="minorBidi"/>
      <w:color w:val="FF0000"/>
      <w:sz w:val="72"/>
      <w:szCs w:val="24"/>
    </w:rPr>
  </w:style>
  <w:style w:type="paragraph" w:styleId="9">
    <w:name w:val="Title"/>
    <w:basedOn w:val="1"/>
    <w:next w:val="1"/>
    <w:link w:val="22"/>
    <w:qFormat/>
    <w:uiPriority w:val="0"/>
    <w:pPr>
      <w:spacing w:before="240" w:after="60"/>
      <w:jc w:val="center"/>
      <w:outlineLvl w:val="0"/>
    </w:pPr>
    <w:rPr>
      <w:rFonts w:ascii="Calibri Light" w:hAnsi="Calibri Light"/>
      <w:b/>
      <w:bCs/>
      <w:sz w:val="32"/>
      <w:szCs w:val="32"/>
    </w:rPr>
  </w:style>
  <w:style w:type="paragraph" w:styleId="10">
    <w:name w:val="Body Text First Indent"/>
    <w:basedOn w:val="3"/>
    <w:link w:val="24"/>
    <w:unhideWhenUsed/>
    <w:qFormat/>
    <w:uiPriority w:val="99"/>
    <w:pPr>
      <w:spacing w:after="120"/>
      <w:ind w:firstLine="420" w:firstLineChars="100"/>
    </w:pPr>
    <w:rPr>
      <w:rFonts w:cs="Times New Roman"/>
      <w:szCs w:val="22"/>
    </w:rPr>
  </w:style>
  <w:style w:type="table" w:styleId="12">
    <w:name w:val="Table Grid"/>
    <w:basedOn w:val="11"/>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page number"/>
    <w:basedOn w:val="13"/>
    <w:qFormat/>
    <w:uiPriority w:val="0"/>
    <w:rPr>
      <w:szCs w:val="13"/>
    </w:rPr>
  </w:style>
  <w:style w:type="character" w:customStyle="1" w:styleId="15">
    <w:name w:val="正文文本 2 Char"/>
    <w:link w:val="8"/>
    <w:qFormat/>
    <w:uiPriority w:val="0"/>
    <w:rPr>
      <w:rFonts w:ascii="方正小标宋简体" w:eastAsia="方正小标宋简体"/>
      <w:color w:val="FF0000"/>
      <w:sz w:val="72"/>
      <w:szCs w:val="24"/>
    </w:rPr>
  </w:style>
  <w:style w:type="character" w:customStyle="1" w:styleId="16">
    <w:name w:val="正文文本 2 Char1"/>
    <w:basedOn w:val="13"/>
    <w:link w:val="8"/>
    <w:semiHidden/>
    <w:qFormat/>
    <w:uiPriority w:val="99"/>
    <w:rPr>
      <w:rFonts w:ascii="Times New Roman" w:hAnsi="Times New Roman" w:eastAsia="宋体" w:cs="Times New Roman"/>
      <w:szCs w:val="21"/>
    </w:rPr>
  </w:style>
  <w:style w:type="paragraph" w:customStyle="1" w:styleId="17">
    <w:name w:val="Char Char Char Char Char Char Char"/>
    <w:basedOn w:val="1"/>
    <w:qFormat/>
    <w:uiPriority w:val="0"/>
    <w:rPr>
      <w:szCs w:val="13"/>
    </w:rPr>
  </w:style>
  <w:style w:type="character" w:customStyle="1" w:styleId="18">
    <w:name w:val="日期 Char"/>
    <w:basedOn w:val="13"/>
    <w:link w:val="4"/>
    <w:qFormat/>
    <w:uiPriority w:val="0"/>
    <w:rPr>
      <w:rFonts w:ascii="仿宋_GB2312" w:hAnsi="Times New Roman" w:eastAsia="仿宋_GB2312" w:cs="Times New Roman"/>
      <w:sz w:val="32"/>
      <w:szCs w:val="21"/>
    </w:rPr>
  </w:style>
  <w:style w:type="character" w:customStyle="1" w:styleId="19">
    <w:name w:val="批注框文本 Char"/>
    <w:basedOn w:val="13"/>
    <w:link w:val="5"/>
    <w:qFormat/>
    <w:uiPriority w:val="0"/>
    <w:rPr>
      <w:rFonts w:ascii="Times New Roman" w:hAnsi="Times New Roman" w:eastAsia="宋体" w:cs="Times New Roman"/>
      <w:sz w:val="18"/>
      <w:szCs w:val="18"/>
    </w:rPr>
  </w:style>
  <w:style w:type="character" w:customStyle="1" w:styleId="20">
    <w:name w:val="页眉 Char"/>
    <w:basedOn w:val="13"/>
    <w:link w:val="7"/>
    <w:qFormat/>
    <w:uiPriority w:val="99"/>
    <w:rPr>
      <w:rFonts w:ascii="Times New Roman" w:hAnsi="Times New Roman" w:eastAsia="宋体" w:cs="Times New Roman"/>
      <w:sz w:val="18"/>
      <w:szCs w:val="18"/>
    </w:rPr>
  </w:style>
  <w:style w:type="character" w:customStyle="1" w:styleId="21">
    <w:name w:val="页脚 Char"/>
    <w:basedOn w:val="13"/>
    <w:link w:val="6"/>
    <w:qFormat/>
    <w:uiPriority w:val="99"/>
    <w:rPr>
      <w:rFonts w:ascii="Times New Roman" w:hAnsi="Times New Roman" w:eastAsia="宋体" w:cs="Times New Roman"/>
      <w:sz w:val="18"/>
      <w:szCs w:val="18"/>
    </w:rPr>
  </w:style>
  <w:style w:type="character" w:customStyle="1" w:styleId="22">
    <w:name w:val="标题 Char"/>
    <w:basedOn w:val="13"/>
    <w:link w:val="9"/>
    <w:qFormat/>
    <w:uiPriority w:val="0"/>
    <w:rPr>
      <w:rFonts w:ascii="Calibri Light" w:hAnsi="Calibri Light" w:eastAsia="宋体" w:cs="Times New Roman"/>
      <w:b/>
      <w:bCs/>
      <w:sz w:val="32"/>
      <w:szCs w:val="32"/>
    </w:rPr>
  </w:style>
  <w:style w:type="character" w:customStyle="1" w:styleId="23">
    <w:name w:val="正文文本 Char"/>
    <w:basedOn w:val="13"/>
    <w:link w:val="3"/>
    <w:qFormat/>
    <w:uiPriority w:val="0"/>
    <w:rPr>
      <w:rFonts w:ascii="Calibri" w:hAnsi="Calibri" w:eastAsia="宋体" w:cs="Calibri"/>
      <w:szCs w:val="24"/>
    </w:rPr>
  </w:style>
  <w:style w:type="character" w:customStyle="1" w:styleId="24">
    <w:name w:val="正文首行缩进 Char"/>
    <w:basedOn w:val="23"/>
    <w:link w:val="10"/>
    <w:qFormat/>
    <w:uiPriority w:val="99"/>
    <w:rPr>
      <w:rFonts w:cs="Times New Roman"/>
    </w:rPr>
  </w:style>
  <w:style w:type="paragraph" w:styleId="25">
    <w:name w:val="List Paragraph"/>
    <w:basedOn w:val="1"/>
    <w:qFormat/>
    <w:uiPriority w:val="34"/>
    <w:pPr>
      <w:ind w:firstLine="420" w:firstLineChars="200"/>
    </w:pPr>
    <w:rPr>
      <w:rFonts w:ascii="Calibri" w:hAnsi="Calibri"/>
      <w:szCs w:val="22"/>
    </w:rPr>
  </w:style>
  <w:style w:type="paragraph" w:customStyle="1" w:styleId="26">
    <w:name w:val="正文1"/>
    <w:qFormat/>
    <w:uiPriority w:val="0"/>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27470</Words>
  <Characters>28547</Characters>
  <Lines>220</Lines>
  <Paragraphs>62</Paragraphs>
  <TotalTime>4</TotalTime>
  <ScaleCrop>false</ScaleCrop>
  <LinksUpToDate>false</LinksUpToDate>
  <CharactersWithSpaces>28875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2023-05-11T02:47:00Z</dcterms:created>
  <dc:creator>韩迪群</dc:creator>
  <cp:lastModifiedBy>86136</cp:lastModifiedBy>
  <dcterms:modified xsi:type="dcterms:W3CDTF">2023-05-15T01:01:42Z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4E492B35A0634D90845CB86383668AB2_13</vt:lpwstr>
  </property>
</Properties>
</file>