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lang w:eastAsia="zh-CN"/>
        </w:rPr>
      </w:pPr>
      <w:r>
        <w:rPr>
          <w:rFonts w:hint="eastAsia"/>
          <w:b/>
          <w:bCs/>
          <w:sz w:val="32"/>
          <w:szCs w:val="40"/>
          <w:lang w:eastAsia="zh-CN"/>
        </w:rPr>
        <w:t>岱山县财政预决算领域基层政务公开标准目录（县级）</w:t>
      </w:r>
    </w:p>
    <w:p>
      <w:pPr>
        <w:rPr>
          <w:rFonts w:hint="eastAsia"/>
          <w:lang w:eastAsia="zh-CN"/>
        </w:rPr>
      </w:pPr>
    </w:p>
    <w:tbl>
      <w:tblPr>
        <w:tblStyle w:val="4"/>
        <w:tblW w:w="155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
        <w:gridCol w:w="780"/>
        <w:gridCol w:w="720"/>
        <w:gridCol w:w="591"/>
        <w:gridCol w:w="3606"/>
        <w:gridCol w:w="775"/>
        <w:gridCol w:w="575"/>
        <w:gridCol w:w="750"/>
        <w:gridCol w:w="1543"/>
        <w:gridCol w:w="630"/>
        <w:gridCol w:w="700"/>
        <w:gridCol w:w="660"/>
        <w:gridCol w:w="770"/>
        <w:gridCol w:w="490"/>
        <w:gridCol w:w="550"/>
        <w:gridCol w:w="590"/>
        <w:gridCol w:w="750"/>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3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序号</w:t>
            </w:r>
          </w:p>
        </w:tc>
        <w:tc>
          <w:tcPr>
            <w:tcW w:w="2091" w:type="dxa"/>
            <w:gridSpan w:val="3"/>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公开事项</w:t>
            </w:r>
          </w:p>
        </w:tc>
        <w:tc>
          <w:tcPr>
            <w:tcW w:w="3606"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公开内容（要素）</w:t>
            </w:r>
          </w:p>
        </w:tc>
        <w:tc>
          <w:tcPr>
            <w:tcW w:w="775"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公开依据</w:t>
            </w:r>
          </w:p>
        </w:tc>
        <w:tc>
          <w:tcPr>
            <w:tcW w:w="575"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公开时限</w:t>
            </w:r>
          </w:p>
        </w:tc>
        <w:tc>
          <w:tcPr>
            <w:tcW w:w="75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公开主体</w:t>
            </w:r>
          </w:p>
        </w:tc>
        <w:tc>
          <w:tcPr>
            <w:tcW w:w="1543"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公开渠道和载体（用“</w:t>
            </w:r>
            <w:r>
              <w:rPr>
                <w:rFonts w:hint="eastAsia" w:asciiTheme="minorEastAsia" w:hAnsiTheme="minorEastAsia" w:eastAsiaTheme="minorEastAsia" w:cstheme="minorEastAsia"/>
                <w:b/>
                <w:bCs/>
                <w:sz w:val="18"/>
                <w:szCs w:val="18"/>
                <w:vertAlign w:val="baseline"/>
                <w:lang w:val="en-US" w:eastAsia="zh-CN"/>
              </w:rPr>
              <w:sym w:font="Wingdings 2" w:char="0052"/>
            </w:r>
            <w:r>
              <w:rPr>
                <w:rFonts w:hint="eastAsia" w:asciiTheme="minorEastAsia" w:hAnsiTheme="minorEastAsia" w:eastAsiaTheme="minorEastAsia" w:cstheme="minorEastAsia"/>
                <w:b/>
                <w:bCs/>
                <w:sz w:val="18"/>
                <w:szCs w:val="18"/>
                <w:vertAlign w:val="baseline"/>
                <w:lang w:eastAsia="zh-CN"/>
              </w:rPr>
              <w:t>”标注）</w:t>
            </w:r>
          </w:p>
        </w:tc>
        <w:tc>
          <w:tcPr>
            <w:tcW w:w="133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公开对象</w:t>
            </w:r>
          </w:p>
        </w:tc>
        <w:tc>
          <w:tcPr>
            <w:tcW w:w="143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公开方式</w:t>
            </w:r>
          </w:p>
        </w:tc>
        <w:tc>
          <w:tcPr>
            <w:tcW w:w="1630" w:type="dxa"/>
            <w:gridSpan w:val="3"/>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公开层级</w:t>
            </w:r>
          </w:p>
        </w:tc>
        <w:tc>
          <w:tcPr>
            <w:tcW w:w="75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公开格式</w:t>
            </w:r>
          </w:p>
        </w:tc>
        <w:tc>
          <w:tcPr>
            <w:tcW w:w="73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五公开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3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一级事项</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二级事项</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三级事项</w:t>
            </w:r>
          </w:p>
        </w:tc>
        <w:tc>
          <w:tcPr>
            <w:tcW w:w="3606"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p>
        </w:tc>
        <w:tc>
          <w:tcPr>
            <w:tcW w:w="77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p>
        </w:tc>
        <w:tc>
          <w:tcPr>
            <w:tcW w:w="57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p>
        </w:tc>
        <w:tc>
          <w:tcPr>
            <w:tcW w:w="7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p>
        </w:tc>
        <w:tc>
          <w:tcPr>
            <w:tcW w:w="1543"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全社会</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特定群体</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主动公开</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依申请公开</w:t>
            </w: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县级</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乡镇</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村、社区</w:t>
            </w:r>
          </w:p>
        </w:tc>
        <w:tc>
          <w:tcPr>
            <w:tcW w:w="7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p>
        </w:tc>
        <w:tc>
          <w:tcPr>
            <w:tcW w:w="780" w:type="dxa"/>
            <w:vMerge w:val="restart"/>
            <w:vAlign w:val="center"/>
          </w:tcPr>
          <w:p>
            <w:pPr>
              <w:widowControl/>
              <w:jc w:val="center"/>
              <w:textAlignment w:val="center"/>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color w:val="000000"/>
                <w:sz w:val="16"/>
                <w:szCs w:val="16"/>
                <w:lang w:eastAsia="zh-CN"/>
              </w:rPr>
              <w:t>政府预决算</w:t>
            </w:r>
          </w:p>
        </w:tc>
        <w:tc>
          <w:tcPr>
            <w:tcW w:w="720" w:type="dxa"/>
            <w:vAlign w:val="center"/>
          </w:tcPr>
          <w:p>
            <w:pPr>
              <w:widowControl/>
              <w:jc w:val="center"/>
              <w:textAlignment w:val="center"/>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sz w:val="16"/>
                <w:szCs w:val="16"/>
                <w:vertAlign w:val="baseline"/>
                <w:lang w:val="en-US" w:eastAsia="zh-CN"/>
              </w:rPr>
              <w:t>政府预算</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p>
        </w:tc>
        <w:tc>
          <w:tcPr>
            <w:tcW w:w="3606" w:type="dxa"/>
            <w:vAlign w:val="center"/>
          </w:tcPr>
          <w:p>
            <w:pPr>
              <w:tabs>
                <w:tab w:val="center" w:pos="4153"/>
                <w:tab w:val="right" w:pos="8306"/>
              </w:tabs>
              <w:snapToGrid w:val="0"/>
              <w:spacing w:line="360" w:lineRule="auto"/>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一般公共预算：①一般公共预算收入表。②一般公共预算支出表。③一般公共预算本级支出表。④一般公共预算本级基本支出表。⑤一般公共预算税收返还和转移支付表。⑥政府一般债务限额和余额情况表。</w:t>
            </w:r>
          </w:p>
          <w:p>
            <w:pPr>
              <w:tabs>
                <w:tab w:val="center" w:pos="4153"/>
                <w:tab w:val="right" w:pos="8306"/>
              </w:tabs>
              <w:snapToGrid w:val="0"/>
              <w:spacing w:line="360" w:lineRule="auto"/>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政府性基金预算：①政府性基金收入表。②政府性基金支出表。③本级政府性基金支出表。④政府性基金转移支付表。⑤政府专项债务限额和余额情况表。</w:t>
            </w:r>
          </w:p>
          <w:p>
            <w:pPr>
              <w:tabs>
                <w:tab w:val="center" w:pos="4153"/>
                <w:tab w:val="right" w:pos="8306"/>
              </w:tabs>
              <w:snapToGrid w:val="0"/>
              <w:spacing w:line="360" w:lineRule="auto"/>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国有资本经营预算：①国有资本经营预算收入表。②国有资本经营预算支出表。③本级国有资本经营预算支出表。④对下安排转移支付的应当公开国有资本经营预算转移支付表。</w:t>
            </w:r>
          </w:p>
          <w:p>
            <w:pPr>
              <w:tabs>
                <w:tab w:val="center" w:pos="4153"/>
                <w:tab w:val="right" w:pos="8306"/>
              </w:tabs>
              <w:snapToGrid w:val="0"/>
              <w:spacing w:line="360" w:lineRule="auto"/>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社会保险基金预算：①社会保险基金收入表。②社会保险基金支出表。</w:t>
            </w:r>
          </w:p>
          <w:p>
            <w:pPr>
              <w:tabs>
                <w:tab w:val="center" w:pos="4153"/>
                <w:tab w:val="right" w:pos="8306"/>
              </w:tabs>
              <w:snapToGrid w:val="0"/>
              <w:spacing w:line="360" w:lineRule="auto"/>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p>
            <w:pPr>
              <w:tabs>
                <w:tab w:val="center" w:pos="4153"/>
                <w:tab w:val="right" w:pos="8306"/>
              </w:tabs>
              <w:snapToGrid w:val="0"/>
              <w:spacing w:line="360" w:lineRule="auto"/>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对财政转移支付安排、举借政府债务等重要事项进行解释、说明，并公开重大政策和重点项目等绩效目标。</w:t>
            </w:r>
          </w:p>
          <w:p>
            <w:pPr>
              <w:tabs>
                <w:tab w:val="center" w:pos="4153"/>
                <w:tab w:val="right" w:pos="8306"/>
              </w:tabs>
              <w:snapToGrid w:val="0"/>
              <w:spacing w:line="360" w:lineRule="auto"/>
              <w:jc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rPr>
              <w:t>地方政府债务限额、余额、使用安排及还本付息等信息，包括：①随同预算公开上一年度本地区、本级及所属地区地方政府债务限额及余额（或余额预计执行数），以及本地区和本级上一年度地方政府债券（含再融资债券）发行及还本付息额（或预计执行数）、本年度地方政府债券还本付息预算数等；②随同调整预算公开当年本地区及本级地方政府债务限额、本级新增地方政府债券资金使用安排等。</w:t>
            </w:r>
          </w:p>
        </w:tc>
        <w:tc>
          <w:tcPr>
            <w:tcW w:w="775"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color w:val="000000"/>
                <w:sz w:val="16"/>
                <w:szCs w:val="16"/>
              </w:rPr>
              <w:t>《</w:t>
            </w:r>
            <w:r>
              <w:rPr>
                <w:rFonts w:hint="eastAsia" w:asciiTheme="minorEastAsia" w:hAnsiTheme="minorEastAsia" w:cstheme="minorEastAsia"/>
                <w:color w:val="000000"/>
                <w:sz w:val="16"/>
                <w:szCs w:val="16"/>
                <w:lang w:eastAsia="zh-CN"/>
              </w:rPr>
              <w:t>中华人民共和国</w:t>
            </w:r>
            <w:r>
              <w:rPr>
                <w:rFonts w:hint="eastAsia" w:asciiTheme="minorEastAsia" w:hAnsiTheme="minorEastAsia" w:eastAsiaTheme="minorEastAsia" w:cstheme="minorEastAsia"/>
                <w:color w:val="000000"/>
                <w:sz w:val="16"/>
                <w:szCs w:val="16"/>
              </w:rPr>
              <w:t>预算法》、《</w:t>
            </w:r>
            <w:r>
              <w:rPr>
                <w:rFonts w:hint="eastAsia" w:asciiTheme="minorEastAsia" w:hAnsiTheme="minorEastAsia" w:cstheme="minorEastAsia"/>
                <w:color w:val="000000"/>
                <w:sz w:val="16"/>
                <w:szCs w:val="16"/>
                <w:lang w:eastAsia="zh-CN"/>
              </w:rPr>
              <w:t>中华人民共和国</w:t>
            </w:r>
            <w:r>
              <w:rPr>
                <w:rFonts w:hint="eastAsia" w:asciiTheme="minorEastAsia" w:hAnsiTheme="minorEastAsia" w:eastAsiaTheme="minorEastAsia" w:cstheme="minorEastAsia"/>
                <w:color w:val="000000"/>
                <w:sz w:val="16"/>
                <w:szCs w:val="16"/>
              </w:rPr>
              <w:t>政府信息公开条例》、《财政部关于印发&lt;地方预决算公开操作规程&gt;的通知</w:t>
            </w:r>
            <w:bookmarkStart w:id="0" w:name="_GoBack"/>
            <w:bookmarkEnd w:id="0"/>
            <w:r>
              <w:rPr>
                <w:rFonts w:hint="eastAsia" w:asciiTheme="minorEastAsia" w:hAnsiTheme="minorEastAsia" w:eastAsiaTheme="minorEastAsia" w:cstheme="minorEastAsia"/>
                <w:color w:val="000000"/>
                <w:sz w:val="16"/>
                <w:szCs w:val="16"/>
              </w:rPr>
              <w:t>》、《财政部关于印发&lt;地方政府债务信息公开办法（试行）&gt;的通知》等法律法规和文件规定</w:t>
            </w:r>
          </w:p>
        </w:tc>
        <w:tc>
          <w:tcPr>
            <w:tcW w:w="575"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color w:val="000000"/>
                <w:sz w:val="16"/>
                <w:szCs w:val="16"/>
              </w:rPr>
              <w:t>信息形成或者变更之日起20个工作日内</w:t>
            </w:r>
          </w:p>
        </w:tc>
        <w:tc>
          <w:tcPr>
            <w:tcW w:w="75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cstheme="minorEastAsia"/>
                <w:b w:val="0"/>
                <w:bCs w:val="0"/>
                <w:sz w:val="16"/>
                <w:szCs w:val="16"/>
                <w:vertAlign w:val="baseline"/>
                <w:lang w:eastAsia="zh-CN"/>
              </w:rPr>
              <w:t>各乡镇各部门</w:t>
            </w:r>
          </w:p>
        </w:tc>
        <w:tc>
          <w:tcPr>
            <w:tcW w:w="1543"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p>
        </w:tc>
        <w:tc>
          <w:tcPr>
            <w:tcW w:w="780" w:type="dxa"/>
            <w:vMerge w:val="continue"/>
            <w:vAlign w:val="center"/>
          </w:tcPr>
          <w:p>
            <w:pPr>
              <w:widowControl/>
              <w:jc w:val="center"/>
              <w:textAlignment w:val="center"/>
              <w:rPr>
                <w:rFonts w:hint="eastAsia" w:asciiTheme="minorEastAsia" w:hAnsiTheme="minorEastAsia" w:eastAsiaTheme="minorEastAsia" w:cstheme="minorEastAsia"/>
                <w:b/>
                <w:bCs/>
                <w:sz w:val="16"/>
                <w:szCs w:val="16"/>
                <w:vertAlign w:val="baseline"/>
                <w:lang w:eastAsia="zh-CN"/>
              </w:rPr>
            </w:pPr>
          </w:p>
        </w:tc>
        <w:tc>
          <w:tcPr>
            <w:tcW w:w="720" w:type="dxa"/>
            <w:vAlign w:val="center"/>
          </w:tcPr>
          <w:p>
            <w:pPr>
              <w:widowControl/>
              <w:jc w:val="center"/>
              <w:textAlignment w:val="center"/>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sz w:val="16"/>
                <w:szCs w:val="16"/>
                <w:vertAlign w:val="baseline"/>
                <w:lang w:val="en-US" w:eastAsia="zh-CN"/>
              </w:rPr>
              <w:t>政府决算</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p>
        </w:tc>
        <w:tc>
          <w:tcPr>
            <w:tcW w:w="3606" w:type="dxa"/>
            <w:vAlign w:val="center"/>
          </w:tcPr>
          <w:p>
            <w:pPr>
              <w:tabs>
                <w:tab w:val="center" w:pos="4153"/>
                <w:tab w:val="right" w:pos="8306"/>
              </w:tabs>
              <w:snapToGrid w:val="0"/>
              <w:spacing w:line="360" w:lineRule="auto"/>
              <w:jc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rPr>
              <w:t>一般公共预算：①一般公共预算收入表。②一般公共预算支出表。③一般公共预算本级支出表。④一般公共预算本级基本支出表。⑤一般公共预算税收返还和转移支付表。⑥政府一般债务限额和余额情况表。政府性基金预算：①政府性基金收入表。②政府性基金支出表。③本级政府性基金支出表。④政府性基金转移支付表。⑤政府专项债务限额和余额情况表。国有资本经营预算：①国有资本经营预算收入表。②国有资本经营预算支出表。③本级国有资本经营预算支出表。④对下安排转移支付的应当公开国有资本经营预算转移支付表。社会保险基金预算：①社会保险基金收入表。②社会保险基金支出表。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对财政转移支付安排、举借政府债务、预算绩效工作开展情况等重要事项进行解释、说明，并公开重大政策和重点项目绩效执行结果地方本级汇总的一般公共预算“三公”经费，包括预算总额，以及“因公出国（境）费”“公务用车购置及运行费”（区分“公务用车购置费”“公务用车运行费”两项）“公务接待费”分项数额，并对增减变化情况（与预算对比）进行说明。地方政府债务限额、余额、使用安排及还本付息等信息，包括：上年末本地区、本级及所属地区地方政府债务限额、余额决算数，地方政府债券发行、还本付息决算数，以及债券资金使用安排等。</w:t>
            </w:r>
          </w:p>
        </w:tc>
        <w:tc>
          <w:tcPr>
            <w:tcW w:w="77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p>
        </w:tc>
        <w:tc>
          <w:tcPr>
            <w:tcW w:w="57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p>
        </w:tc>
        <w:tc>
          <w:tcPr>
            <w:tcW w:w="7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1543"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80" w:type="dxa"/>
            <w:vMerge w:val="restart"/>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vertAlign w:val="baseline"/>
                <w:lang w:eastAsia="zh-CN"/>
              </w:rPr>
              <w:t>部门预决算</w:t>
            </w:r>
          </w:p>
        </w:tc>
        <w:tc>
          <w:tcPr>
            <w:tcW w:w="720" w:type="dxa"/>
            <w:vAlign w:val="center"/>
          </w:tcPr>
          <w:p>
            <w:pPr>
              <w:widowControl/>
              <w:jc w:val="center"/>
              <w:textAlignment w:val="center"/>
              <w:rPr>
                <w:rFonts w:hint="eastAsia" w:asciiTheme="minorEastAsia" w:hAnsiTheme="minorEastAsia" w:eastAsiaTheme="minorEastAsia" w:cstheme="minorEastAsia"/>
                <w:b w:val="0"/>
                <w:bCs w:val="0"/>
                <w:kern w:val="2"/>
                <w:sz w:val="16"/>
                <w:szCs w:val="16"/>
                <w:vertAlign w:val="baseline"/>
                <w:lang w:val="en-US" w:eastAsia="zh-CN" w:bidi="ar-SA"/>
              </w:rPr>
            </w:pPr>
            <w:r>
              <w:rPr>
                <w:rFonts w:hint="eastAsia" w:asciiTheme="minorEastAsia" w:hAnsiTheme="minorEastAsia" w:eastAsiaTheme="minorEastAsia" w:cstheme="minorEastAsia"/>
                <w:sz w:val="16"/>
                <w:szCs w:val="16"/>
                <w:vertAlign w:val="baseline"/>
                <w:lang w:eastAsia="zh-CN"/>
              </w:rPr>
              <w:t>部门预算</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3606" w:type="dxa"/>
            <w:vAlign w:val="center"/>
          </w:tcPr>
          <w:p>
            <w:pPr>
              <w:tabs>
                <w:tab w:val="center" w:pos="4153"/>
                <w:tab w:val="right" w:pos="8306"/>
              </w:tabs>
              <w:snapToGrid w:val="0"/>
              <w:spacing w:line="360" w:lineRule="auto"/>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收支总体情况表：①部门收支总体情况表。②部门收入总体情况表。③部门支出总体情况表。</w:t>
            </w:r>
          </w:p>
          <w:p>
            <w:pPr>
              <w:tabs>
                <w:tab w:val="center" w:pos="4153"/>
                <w:tab w:val="right" w:pos="8306"/>
              </w:tabs>
              <w:snapToGrid w:val="0"/>
              <w:spacing w:line="360" w:lineRule="auto"/>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财政拨款收支情况表：①财政拨款收支总体情况表。②一般公共预算支出情况表。③一般公共预算基本支出情况表。④一般公共预算“三公”经费支出情况表。⑤政府性基金预算支出情况表。</w:t>
            </w:r>
          </w:p>
          <w:p>
            <w:pPr>
              <w:tabs>
                <w:tab w:val="center" w:pos="4153"/>
                <w:tab w:val="right" w:pos="8306"/>
              </w:tabs>
              <w:snapToGrid w:val="0"/>
              <w:spacing w:line="360" w:lineRule="auto"/>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一般公共预算支出情况表公开到功能分类项级科目。一般公共预算基本支出表公开到经济分类款级科目。</w:t>
            </w:r>
          </w:p>
          <w:p>
            <w:pPr>
              <w:tabs>
                <w:tab w:val="center" w:pos="4153"/>
                <w:tab w:val="right" w:pos="8306"/>
              </w:tabs>
              <w:snapToGrid w:val="0"/>
              <w:spacing w:line="360" w:lineRule="auto"/>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一般公共预算“三公”经费支出表按“因公出国（境）费”“公务用车购置及运行费”“公务接待费”公开，其中，“公务用车购置及运行费”应当细化到“公务用车购置费”“公务用车运行费”两个项目，并对增减变化情况进行说明。</w:t>
            </w:r>
          </w:p>
          <w:p>
            <w:pPr>
              <w:tabs>
                <w:tab w:val="center" w:pos="4153"/>
                <w:tab w:val="right" w:pos="8306"/>
              </w:tabs>
              <w:snapToGrid w:val="0"/>
              <w:spacing w:line="360" w:lineRule="auto"/>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color w:val="000000"/>
                <w:sz w:val="16"/>
                <w:szCs w:val="16"/>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775"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575"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color w:val="000000"/>
                <w:sz w:val="16"/>
                <w:szCs w:val="16"/>
              </w:rPr>
              <w:t>信息形成或者变更之日起20个工作日内</w:t>
            </w:r>
          </w:p>
        </w:tc>
        <w:tc>
          <w:tcPr>
            <w:tcW w:w="75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cstheme="minorEastAsia"/>
                <w:b w:val="0"/>
                <w:bCs w:val="0"/>
                <w:sz w:val="16"/>
                <w:szCs w:val="16"/>
                <w:vertAlign w:val="baseline"/>
                <w:lang w:eastAsia="zh-CN"/>
              </w:rPr>
              <w:t>各部门</w:t>
            </w:r>
          </w:p>
        </w:tc>
        <w:tc>
          <w:tcPr>
            <w:tcW w:w="1543"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80" w:type="dxa"/>
            <w:vMerge w:val="continue"/>
            <w:vAlign w:val="center"/>
          </w:tcPr>
          <w:p>
            <w:pPr>
              <w:jc w:val="center"/>
              <w:rPr>
                <w:rFonts w:hint="eastAsia" w:asciiTheme="minorEastAsia" w:hAnsiTheme="minorEastAsia" w:eastAsiaTheme="minorEastAsia" w:cstheme="minorEastAsia"/>
                <w:sz w:val="16"/>
                <w:szCs w:val="16"/>
                <w:vertAlign w:val="baseline"/>
                <w:lang w:eastAsia="zh-CN"/>
              </w:rPr>
            </w:pPr>
          </w:p>
        </w:tc>
        <w:tc>
          <w:tcPr>
            <w:tcW w:w="720" w:type="dxa"/>
            <w:vAlign w:val="center"/>
          </w:tcPr>
          <w:p>
            <w:pPr>
              <w:widowControl/>
              <w:jc w:val="center"/>
              <w:textAlignment w:val="center"/>
              <w:rPr>
                <w:rFonts w:hint="eastAsia" w:asciiTheme="minorEastAsia" w:hAnsiTheme="minorEastAsia" w:eastAsiaTheme="minorEastAsia" w:cstheme="minorEastAsia"/>
                <w:b w:val="0"/>
                <w:bCs w:val="0"/>
                <w:kern w:val="2"/>
                <w:sz w:val="16"/>
                <w:szCs w:val="16"/>
                <w:vertAlign w:val="baseline"/>
                <w:lang w:val="en-US" w:eastAsia="zh-CN" w:bidi="ar-SA"/>
              </w:rPr>
            </w:pPr>
            <w:r>
              <w:rPr>
                <w:rFonts w:hint="eastAsia" w:asciiTheme="minorEastAsia" w:hAnsiTheme="minorEastAsia" w:eastAsiaTheme="minorEastAsia" w:cstheme="minorEastAsia"/>
                <w:sz w:val="16"/>
                <w:szCs w:val="16"/>
                <w:vertAlign w:val="baseline"/>
                <w:lang w:eastAsia="zh-CN"/>
              </w:rPr>
              <w:t>部门决算</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3606" w:type="dxa"/>
            <w:vAlign w:val="center"/>
          </w:tcPr>
          <w:p>
            <w:pPr>
              <w:tabs>
                <w:tab w:val="center" w:pos="4153"/>
                <w:tab w:val="right" w:pos="8306"/>
              </w:tabs>
              <w:snapToGrid w:val="0"/>
              <w:spacing w:line="360" w:lineRule="auto"/>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color w:val="000000"/>
                <w:sz w:val="16"/>
                <w:szCs w:val="16"/>
              </w:rPr>
              <w:t>收支总体情况表：①部门收支总体情况表。②部门收入总体情况表。③部门支出总体情况表。财政拨款收支情况表：①财政拨款收支总体情况表。②一般公共预算支出情况表。③一般公共预算基本支出情况表。④一般公共预算“三公”经费支出情况表。⑤政府性基金预算支出情况表。一般公共预算支出情况表公开到功能分类项级科目。一般公共预算基本支出表公开到经济分类款级科目。一般公共预算“三公”经费支出表按“因公出国（境）费”“公务用车购置及运行费”“公务接待费”公开，其中，“公务用车购置及运行费”应当细化到“公务用车购置费”“公务用车运行费”两个项目，并对增减变化情况（与预算对比）进行说明。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77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57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7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1543"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80"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vertAlign w:val="baseline"/>
                <w:lang w:eastAsia="zh-CN"/>
              </w:rPr>
              <w:t>三公经费</w:t>
            </w:r>
          </w:p>
        </w:tc>
        <w:tc>
          <w:tcPr>
            <w:tcW w:w="720" w:type="dxa"/>
            <w:vAlign w:val="center"/>
          </w:tcPr>
          <w:p>
            <w:pPr>
              <w:widowControl/>
              <w:jc w:val="center"/>
              <w:textAlignment w:val="center"/>
              <w:rPr>
                <w:rFonts w:hint="eastAsia" w:asciiTheme="minorEastAsia" w:hAnsiTheme="minorEastAsia" w:eastAsiaTheme="minorEastAsia" w:cstheme="minorEastAsia"/>
                <w:b w:val="0"/>
                <w:bCs w:val="0"/>
                <w:kern w:val="2"/>
                <w:sz w:val="16"/>
                <w:szCs w:val="16"/>
                <w:vertAlign w:val="baseline"/>
                <w:lang w:val="en-US" w:eastAsia="zh-CN" w:bidi="ar-SA"/>
              </w:rPr>
            </w:pP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3606" w:type="dxa"/>
            <w:vAlign w:val="center"/>
          </w:tcPr>
          <w:p>
            <w:pPr>
              <w:tabs>
                <w:tab w:val="center" w:pos="4153"/>
                <w:tab w:val="right" w:pos="8306"/>
              </w:tabs>
              <w:snapToGrid w:val="0"/>
              <w:spacing w:line="360" w:lineRule="auto"/>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color w:val="000000"/>
                <w:sz w:val="16"/>
                <w:szCs w:val="16"/>
              </w:rPr>
              <w:t>地方本级汇总的一般公共预算“三公”经费，包括预算总额，以及“因公出国（境）费”“公务用车购置及运行费”（区分“公务用车购置费”“公务用车运行费”两项）、“公务接待费”分项数额，并对增减变化情况进行说明。</w:t>
            </w:r>
          </w:p>
        </w:tc>
        <w:tc>
          <w:tcPr>
            <w:tcW w:w="77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57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color w:val="000000"/>
                <w:sz w:val="16"/>
                <w:szCs w:val="16"/>
              </w:rPr>
              <w:t>信息形成或者变更之日起20个工作日内</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eastAsia="zh-CN"/>
              </w:rPr>
              <w:t>各乡镇各部门</w:t>
            </w:r>
          </w:p>
        </w:tc>
        <w:tc>
          <w:tcPr>
            <w:tcW w:w="154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bl>
    <w:p/>
    <w:tbl>
      <w:tblPr>
        <w:tblStyle w:val="4"/>
        <w:tblpPr w:leftFromText="180" w:rightFromText="180" w:vertAnchor="text" w:tblpX="-20" w:tblpY="-14024"/>
        <w:tblOverlap w:val="never"/>
        <w:tblW w:w="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50" w:type="dxa"/>
          </w:tcPr>
          <w:p>
            <w:pPr>
              <w:rPr>
                <w:vertAlign w:val="baseline"/>
              </w:rPr>
            </w:pPr>
          </w:p>
        </w:tc>
      </w:tr>
    </w:tbl>
    <w:p>
      <w:pPr>
        <w:keepNext w:val="0"/>
        <w:keepLines w:val="0"/>
        <w:pageBreakBefore w:val="0"/>
        <w:kinsoku/>
        <w:wordWrap/>
        <w:overflowPunct/>
        <w:topLinePunct w:val="0"/>
        <w:autoSpaceDE/>
        <w:autoSpaceDN/>
        <w:bidi w:val="0"/>
        <w:adjustRightInd/>
        <w:snapToGrid/>
        <w:spacing w:line="200" w:lineRule="exact"/>
        <w:textAlignment w:val="auto"/>
        <w:rPr>
          <w:rFonts w:hint="eastAsia" w:asciiTheme="minorEastAsia" w:hAnsiTheme="minorEastAsia" w:eastAsiaTheme="minorEastAsia" w:cstheme="minorEastAsia"/>
          <w:sz w:val="16"/>
          <w:szCs w:val="16"/>
          <w:lang w:eastAsia="zh-CN"/>
        </w:rPr>
      </w:pPr>
    </w:p>
    <w:sectPr>
      <w:pgSz w:w="16838" w:h="11906" w:orient="landscape"/>
      <w:pgMar w:top="896" w:right="873" w:bottom="896" w:left="87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95F07"/>
    <w:rsid w:val="041C4EEE"/>
    <w:rsid w:val="06EA7F58"/>
    <w:rsid w:val="0C4B690A"/>
    <w:rsid w:val="0D7B4E45"/>
    <w:rsid w:val="11E3668F"/>
    <w:rsid w:val="13A77107"/>
    <w:rsid w:val="18D17EA9"/>
    <w:rsid w:val="1CF85D56"/>
    <w:rsid w:val="220C1C50"/>
    <w:rsid w:val="2D41199C"/>
    <w:rsid w:val="2E5E46AC"/>
    <w:rsid w:val="36E62EFE"/>
    <w:rsid w:val="40675CA3"/>
    <w:rsid w:val="46262171"/>
    <w:rsid w:val="4DF43C76"/>
    <w:rsid w:val="50D672AB"/>
    <w:rsid w:val="57DF5027"/>
    <w:rsid w:val="59C75603"/>
    <w:rsid w:val="60F33EC9"/>
    <w:rsid w:val="656E7AFA"/>
    <w:rsid w:val="659D335A"/>
    <w:rsid w:val="6A480F24"/>
    <w:rsid w:val="703D08D8"/>
    <w:rsid w:val="71056940"/>
    <w:rsid w:val="71F3476A"/>
    <w:rsid w:val="73412F6E"/>
    <w:rsid w:val="759707EB"/>
    <w:rsid w:val="776F52FF"/>
    <w:rsid w:val="77F40342"/>
    <w:rsid w:val="7C4D7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2865</Words>
  <Characters>2868</Characters>
  <Lines>0</Lines>
  <Paragraphs>0</Paragraphs>
  <TotalTime>1</TotalTime>
  <ScaleCrop>false</ScaleCrop>
  <LinksUpToDate>false</LinksUpToDate>
  <CharactersWithSpaces>2883</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2022-06-17T11:04:00Z</dcterms:created>
  <dc:creator>Administrator</dc:creator>
  <cp:lastModifiedBy>cxb</cp:lastModifiedBy>
  <dcterms:modified xsi:type="dcterms:W3CDTF">2024-03-18T09:59:20Z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6AFFFE230D12E859F89FF765E409C3BD</vt:lpwstr>
  </property>
</Properties>
</file>