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r>
        <w:rPr>
          <w:rFonts w:hint="eastAsia"/>
          <w:b/>
          <w:bCs/>
          <w:sz w:val="32"/>
          <w:szCs w:val="40"/>
          <w:lang w:eastAsia="zh-CN"/>
        </w:rPr>
        <w:t>岱山县农村危房改造领域基层政务公开标准目录（村、社区）</w:t>
      </w:r>
    </w:p>
    <w:p>
      <w:pPr>
        <w:rPr>
          <w:rFonts w:hint="eastAsia"/>
          <w:lang w:eastAsia="zh-CN"/>
        </w:rPr>
      </w:pPr>
    </w:p>
    <w:tbl>
      <w:tblPr>
        <w:tblStyle w:val="4"/>
        <w:tblW w:w="15616"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780"/>
        <w:gridCol w:w="747"/>
        <w:gridCol w:w="2353"/>
        <w:gridCol w:w="1425"/>
        <w:gridCol w:w="980"/>
        <w:gridCol w:w="764"/>
        <w:gridCol w:w="2334"/>
        <w:gridCol w:w="677"/>
        <w:gridCol w:w="678"/>
        <w:gridCol w:w="678"/>
        <w:gridCol w:w="684"/>
        <w:gridCol w:w="490"/>
        <w:gridCol w:w="550"/>
        <w:gridCol w:w="590"/>
        <w:gridCol w:w="75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序号</w:t>
            </w:r>
          </w:p>
        </w:tc>
        <w:tc>
          <w:tcPr>
            <w:tcW w:w="152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公开事项</w:t>
            </w:r>
          </w:p>
        </w:tc>
        <w:tc>
          <w:tcPr>
            <w:tcW w:w="235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公开内容（要素）</w:t>
            </w:r>
          </w:p>
        </w:tc>
        <w:tc>
          <w:tcPr>
            <w:tcW w:w="142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公开依据</w:t>
            </w:r>
          </w:p>
        </w:tc>
        <w:tc>
          <w:tcPr>
            <w:tcW w:w="9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公开时限</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公开主体</w:t>
            </w:r>
          </w:p>
        </w:tc>
        <w:tc>
          <w:tcPr>
            <w:tcW w:w="233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公开渠道和载体（用“</w:t>
            </w:r>
            <w:r>
              <w:rPr>
                <w:rFonts w:hint="eastAsia" w:ascii="宋体" w:hAnsi="宋体" w:eastAsia="宋体" w:cs="宋体"/>
                <w:b/>
                <w:bCs/>
                <w:sz w:val="20"/>
                <w:szCs w:val="20"/>
                <w:vertAlign w:val="baseline"/>
                <w:lang w:val="en-US" w:eastAsia="zh-CN"/>
              </w:rPr>
              <w:sym w:font="Wingdings 2" w:char="0052"/>
            </w:r>
            <w:r>
              <w:rPr>
                <w:rFonts w:hint="eastAsia"/>
                <w:b/>
                <w:bCs/>
                <w:sz w:val="20"/>
                <w:szCs w:val="20"/>
                <w:vertAlign w:val="baseline"/>
                <w:lang w:eastAsia="zh-CN"/>
              </w:rPr>
              <w:t>”标注）</w:t>
            </w:r>
          </w:p>
        </w:tc>
        <w:tc>
          <w:tcPr>
            <w:tcW w:w="135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公开对象</w:t>
            </w:r>
          </w:p>
        </w:tc>
        <w:tc>
          <w:tcPr>
            <w:tcW w:w="136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公开方式</w:t>
            </w:r>
          </w:p>
        </w:tc>
        <w:tc>
          <w:tcPr>
            <w:tcW w:w="163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公开层级</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公开格式</w:t>
            </w:r>
          </w:p>
        </w:tc>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五公开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06"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sz w:val="22"/>
                <w:szCs w:val="22"/>
                <w:vertAlign w:val="baseline"/>
                <w:lang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一级事项</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b/>
                <w:bCs/>
                <w:sz w:val="20"/>
                <w:szCs w:val="20"/>
                <w:vertAlign w:val="baseline"/>
                <w:lang w:eastAsia="zh-CN"/>
              </w:rPr>
            </w:pPr>
            <w:r>
              <w:rPr>
                <w:rFonts w:hint="eastAsia"/>
                <w:b/>
                <w:bCs/>
                <w:sz w:val="20"/>
                <w:szCs w:val="20"/>
                <w:vertAlign w:val="baseline"/>
                <w:lang w:eastAsia="zh-CN"/>
              </w:rPr>
              <w:t>二级事项</w:t>
            </w:r>
          </w:p>
        </w:tc>
        <w:tc>
          <w:tcPr>
            <w:tcW w:w="2353"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sz w:val="20"/>
                <w:szCs w:val="20"/>
                <w:vertAlign w:val="baseline"/>
                <w:lang w:eastAsia="zh-CN"/>
              </w:rPr>
            </w:pPr>
          </w:p>
        </w:tc>
        <w:tc>
          <w:tcPr>
            <w:tcW w:w="1425"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sz w:val="20"/>
                <w:szCs w:val="20"/>
                <w:vertAlign w:val="baseline"/>
                <w:lang w:eastAsia="zh-CN"/>
              </w:rPr>
            </w:pPr>
          </w:p>
        </w:tc>
        <w:tc>
          <w:tcPr>
            <w:tcW w:w="98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sz w:val="20"/>
                <w:szCs w:val="20"/>
                <w:vertAlign w:val="baseline"/>
                <w:lang w:eastAsia="zh-CN"/>
              </w:rPr>
            </w:pPr>
          </w:p>
        </w:tc>
        <w:tc>
          <w:tcPr>
            <w:tcW w:w="764"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sz w:val="20"/>
                <w:szCs w:val="20"/>
                <w:vertAlign w:val="baseline"/>
                <w:lang w:eastAsia="zh-CN"/>
              </w:rPr>
            </w:pPr>
          </w:p>
        </w:tc>
        <w:tc>
          <w:tcPr>
            <w:tcW w:w="2334"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sz w:val="20"/>
                <w:szCs w:val="20"/>
                <w:vertAlign w:val="baseline"/>
                <w:lang w:eastAsia="zh-CN"/>
              </w:rPr>
            </w:pPr>
          </w:p>
        </w:tc>
        <w:tc>
          <w:tcPr>
            <w:tcW w:w="6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全社会</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特定群体</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主动公开</w:t>
            </w: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依申请公开</w:t>
            </w: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县级</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乡镇</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0"/>
                <w:szCs w:val="20"/>
                <w:vertAlign w:val="baseline"/>
                <w:lang w:eastAsia="zh-CN"/>
              </w:rPr>
            </w:pPr>
            <w:r>
              <w:rPr>
                <w:rFonts w:hint="eastAsia"/>
                <w:b/>
                <w:bCs/>
                <w:sz w:val="20"/>
                <w:szCs w:val="20"/>
                <w:vertAlign w:val="baseline"/>
                <w:lang w:eastAsia="zh-CN"/>
              </w:rPr>
              <w:t>村、社区</w:t>
            </w:r>
          </w:p>
        </w:tc>
        <w:tc>
          <w:tcPr>
            <w:tcW w:w="75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sz w:val="22"/>
                <w:szCs w:val="22"/>
                <w:vertAlign w:val="baseline"/>
                <w:lang w:eastAsia="zh-CN"/>
              </w:rPr>
            </w:pPr>
          </w:p>
        </w:tc>
        <w:tc>
          <w:tcPr>
            <w:tcW w:w="730" w:type="dxa"/>
            <w:vMerge w:val="continue"/>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3</w:t>
            </w:r>
          </w:p>
        </w:tc>
        <w:tc>
          <w:tcPr>
            <w:tcW w:w="780" w:type="dxa"/>
            <w:vMerge w:val="restart"/>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计划实施</w:t>
            </w: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任务分配</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及时公开农村危房改造补助农户名单</w:t>
            </w:r>
          </w:p>
        </w:tc>
        <w:tc>
          <w:tcPr>
            <w:tcW w:w="1425" w:type="dxa"/>
            <w:vMerge w:val="restart"/>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《住房城乡建设部 财政部 国务院扶贫办关于加强和完善建档立卡贫困户等重点对象农村危房改造若干问题的通知》等</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4</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组织培训</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组织开展农村建筑工匠培训文件</w:t>
            </w:r>
          </w:p>
        </w:tc>
        <w:tc>
          <w:tcPr>
            <w:tcW w:w="1425" w:type="dxa"/>
            <w:vMerge w:val="continue"/>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5</w:t>
            </w:r>
          </w:p>
        </w:tc>
        <w:tc>
          <w:tcPr>
            <w:tcW w:w="780" w:type="dxa"/>
            <w:vMerge w:val="restart"/>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条件与标准</w:t>
            </w: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农村危房等级评定标准</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农村危房等级评定相关标准</w:t>
            </w:r>
          </w:p>
        </w:tc>
        <w:tc>
          <w:tcPr>
            <w:tcW w:w="1425" w:type="dxa"/>
            <w:vMerge w:val="restart"/>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w:t>
            </w:r>
            <w:r>
              <w:rPr>
                <w:rFonts w:hint="eastAsia" w:asciiTheme="minorEastAsia" w:hAnsiTheme="minorEastAsia" w:cstheme="minorEastAsia"/>
                <w:color w:val="000000"/>
                <w:sz w:val="16"/>
                <w:szCs w:val="16"/>
                <w:lang w:eastAsia="zh-CN"/>
              </w:rPr>
              <w:t>中华人民共和国</w:t>
            </w:r>
            <w:r>
              <w:rPr>
                <w:rFonts w:hint="eastAsia" w:asciiTheme="minorEastAsia" w:hAnsiTheme="minorEastAsia" w:eastAsiaTheme="minorEastAsia" w:cstheme="minorEastAsia"/>
                <w:color w:val="000000"/>
                <w:sz w:val="16"/>
                <w:szCs w:val="16"/>
              </w:rPr>
              <w:t>预算法》、《</w:t>
            </w:r>
            <w:r>
              <w:rPr>
                <w:rFonts w:hint="eastAsia" w:asciiTheme="minorEastAsia" w:hAnsiTheme="minorEastAsia" w:cstheme="minorEastAsia"/>
                <w:color w:val="000000"/>
                <w:sz w:val="16"/>
                <w:szCs w:val="16"/>
                <w:lang w:eastAsia="zh-CN"/>
              </w:rPr>
              <w:t>中华人民共和国</w:t>
            </w:r>
            <w:bookmarkStart w:id="0" w:name="_GoBack"/>
            <w:bookmarkEnd w:id="0"/>
            <w:r>
              <w:rPr>
                <w:rFonts w:hint="eastAsia" w:asciiTheme="minorEastAsia" w:hAnsiTheme="minorEastAsia" w:eastAsiaTheme="minorEastAsia" w:cstheme="minorEastAsia"/>
                <w:color w:val="000000"/>
                <w:sz w:val="16"/>
                <w:szCs w:val="16"/>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6</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农村危房改造对象申请条件</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农村危房改造农户申请条件</w:t>
            </w:r>
          </w:p>
        </w:tc>
        <w:tc>
          <w:tcPr>
            <w:tcW w:w="1425" w:type="dxa"/>
            <w:vMerge w:val="continue"/>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7</w:t>
            </w:r>
          </w:p>
        </w:tc>
        <w:tc>
          <w:tcPr>
            <w:tcW w:w="780" w:type="dxa"/>
            <w:vMerge w:val="restart"/>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条件与标准</w:t>
            </w: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农村危房改造资金补助标准</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农村危房改造资金补助标准</w:t>
            </w:r>
          </w:p>
        </w:tc>
        <w:tc>
          <w:tcPr>
            <w:tcW w:w="1425" w:type="dxa"/>
            <w:vMerge w:val="continue"/>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8</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农村危房改造竣工合格标准</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农村危房改造竣工验收要求</w:t>
            </w:r>
          </w:p>
        </w:tc>
        <w:tc>
          <w:tcPr>
            <w:tcW w:w="1425" w:type="dxa"/>
            <w:vMerge w:val="continue"/>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9</w:t>
            </w:r>
          </w:p>
        </w:tc>
        <w:tc>
          <w:tcPr>
            <w:tcW w:w="780" w:type="dxa"/>
            <w:vMerge w:val="restart"/>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对象认定</w:t>
            </w: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危改户认定程序</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农村危房改造申请程序</w:t>
            </w:r>
          </w:p>
        </w:tc>
        <w:tc>
          <w:tcPr>
            <w:tcW w:w="1425" w:type="dxa"/>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vertAlign w:val="baseline"/>
                <w:lang w:val="en-US" w:eastAsia="zh-CN"/>
              </w:rPr>
            </w:pPr>
            <w:r>
              <w:rPr>
                <w:rFonts w:hint="eastAsia" w:asciiTheme="minorEastAsia" w:hAnsiTheme="minorEastAsia" w:cstheme="minorEastAsia"/>
                <w:sz w:val="16"/>
                <w:szCs w:val="16"/>
                <w:vertAlign w:val="baseline"/>
                <w:lang w:val="en-US" w:eastAsia="zh-CN"/>
              </w:rPr>
              <w:t>10</w:t>
            </w:r>
          </w:p>
        </w:tc>
        <w:tc>
          <w:tcPr>
            <w:tcW w:w="780" w:type="dxa"/>
            <w:vMerge w:val="continue"/>
            <w:vAlign w:val="center"/>
          </w:tcPr>
          <w:p>
            <w:pPr>
              <w:jc w:val="center"/>
              <w:rPr>
                <w:rFonts w:hint="eastAsia" w:asciiTheme="minorEastAsia" w:hAnsiTheme="minorEastAsia" w:eastAsiaTheme="minorEastAsia" w:cstheme="minorEastAsia"/>
                <w:sz w:val="16"/>
                <w:szCs w:val="16"/>
                <w:vertAlign w:val="baseline"/>
                <w:lang w:eastAsia="zh-CN"/>
              </w:rPr>
            </w:pPr>
          </w:p>
        </w:tc>
        <w:tc>
          <w:tcPr>
            <w:tcW w:w="747" w:type="dxa"/>
            <w:vAlign w:val="center"/>
          </w:tcPr>
          <w:p>
            <w:pPr>
              <w:jc w:val="center"/>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color w:val="000000"/>
                <w:sz w:val="16"/>
                <w:szCs w:val="16"/>
              </w:rPr>
              <w:t>认定结果</w:t>
            </w:r>
          </w:p>
        </w:tc>
        <w:tc>
          <w:tcPr>
            <w:tcW w:w="2353" w:type="dxa"/>
            <w:vAlign w:val="center"/>
          </w:tcPr>
          <w:p>
            <w:pPr>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认定结果</w:t>
            </w:r>
          </w:p>
        </w:tc>
        <w:tc>
          <w:tcPr>
            <w:tcW w:w="1425" w:type="dxa"/>
            <w:vAlign w:val="center"/>
          </w:tcPr>
          <w:p>
            <w:pPr>
              <w:spacing w:line="240" w:lineRule="exact"/>
              <w:jc w:val="center"/>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76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同上</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t>同上</w:t>
            </w:r>
          </w:p>
        </w:tc>
        <w:tc>
          <w:tcPr>
            <w:tcW w:w="677"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684"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5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590" w:type="dxa"/>
            <w:vAlign w:val="center"/>
          </w:tcPr>
          <w:p>
            <w:pPr>
              <w:keepNext w:val="0"/>
              <w:keepLines w:val="0"/>
              <w:pageBreakBefore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A3"/>
            </w:r>
            <w:r>
              <w:rPr>
                <w:rFonts w:hint="eastAsia" w:asciiTheme="minorEastAsia" w:hAnsiTheme="minorEastAsia" w:eastAsiaTheme="minorEastAsia" w:cstheme="minorEastAsia"/>
                <w:b w:val="0"/>
                <w:bCs w:val="0"/>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vertAlign w:val="baseline"/>
                <w:lang w:val="en-US" w:eastAsia="zh-CN"/>
              </w:rPr>
              <w:sym w:font="Wingdings 2" w:char="0052"/>
            </w:r>
            <w:r>
              <w:rPr>
                <w:rFonts w:hint="eastAsia" w:asciiTheme="minorEastAsia" w:hAnsiTheme="minorEastAsia" w:eastAsiaTheme="minorEastAsia" w:cstheme="minorEastAsia"/>
                <w:b w:val="0"/>
                <w:bCs w:val="0"/>
                <w:sz w:val="16"/>
                <w:szCs w:val="16"/>
                <w:vertAlign w:val="baseline"/>
                <w:lang w:eastAsia="zh-CN"/>
              </w:rPr>
              <w:t>结果</w:t>
            </w:r>
          </w:p>
        </w:tc>
      </w:tr>
    </w:tbl>
    <w:p>
      <w:pPr>
        <w:keepNext w:val="0"/>
        <w:keepLines w:val="0"/>
        <w:pageBreakBefore w:val="0"/>
        <w:kinsoku/>
        <w:wordWrap/>
        <w:overflowPunct/>
        <w:topLinePunct w:val="0"/>
        <w:autoSpaceDE/>
        <w:autoSpaceDN/>
        <w:bidi w:val="0"/>
        <w:adjustRightInd/>
        <w:snapToGrid/>
        <w:spacing w:line="200" w:lineRule="exact"/>
        <w:textAlignment w:val="auto"/>
        <w:rPr>
          <w:rFonts w:hint="default" w:asciiTheme="minorEastAsia" w:hAnsiTheme="minorEastAsia" w:eastAsiaTheme="minorEastAsia" w:cstheme="minorEastAsia"/>
          <w:sz w:val="16"/>
          <w:szCs w:val="16"/>
          <w:lang w:val="en-US" w:eastAsia="zh-CN"/>
        </w:rPr>
      </w:pPr>
    </w:p>
    <w:sectPr>
      <w:pgSz w:w="16838" w:h="11906" w:orient="landscape"/>
      <w:pgMar w:top="896" w:right="873" w:bottom="896"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C4EEE"/>
    <w:rsid w:val="0F897902"/>
    <w:rsid w:val="18D17EA9"/>
    <w:rsid w:val="193662C8"/>
    <w:rsid w:val="1F250E75"/>
    <w:rsid w:val="24F16544"/>
    <w:rsid w:val="2E5E46AC"/>
    <w:rsid w:val="36E62EFE"/>
    <w:rsid w:val="3E9979AD"/>
    <w:rsid w:val="42173854"/>
    <w:rsid w:val="43514C0F"/>
    <w:rsid w:val="703D08D8"/>
    <w:rsid w:val="71F3476A"/>
    <w:rsid w:val="73412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2022-06-17T03:04:00Z</dcterms:created>
  <dc:creator>Administrator</dc:creator>
  <cp:lastModifiedBy>Administrator</cp:lastModifiedBy>
  <dcterms:modified xsi:type="dcterms:W3CDTF">2024-03-06T06:13:56Z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